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2565"/>
        <w:gridCol w:w="2850"/>
        <w:gridCol w:w="4791"/>
      </w:tblGrid>
      <w:tr w:rsidR="00781A4B" w:rsidRPr="00A0458A" w:rsidTr="00AE03E0">
        <w:trPr>
          <w:trHeight w:val="1956"/>
        </w:trPr>
        <w:tc>
          <w:tcPr>
            <w:tcW w:w="2565" w:type="dxa"/>
          </w:tcPr>
          <w:p w:rsidR="00781A4B" w:rsidRPr="00A0458A" w:rsidRDefault="00781A4B" w:rsidP="00AE03E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color w:val="000000"/>
              </w:rPr>
            </w:pPr>
            <w:bookmarkStart w:id="0" w:name="_GoBack"/>
            <w:bookmarkEnd w:id="0"/>
            <w:r w:rsidRPr="00A0458A">
              <w:rPr>
                <w:rFonts w:asciiTheme="minorHAnsi" w:hAnsiTheme="minorHAnsi"/>
                <w:noProof/>
                <w:color w:val="000000"/>
                <w:lang w:val="en-GB" w:eastAsia="en-GB"/>
              </w:rPr>
              <w:drawing>
                <wp:inline distT="0" distB="0" distL="0" distR="0" wp14:anchorId="195E2EDF" wp14:editId="4D38DE9A">
                  <wp:extent cx="1489710" cy="965835"/>
                  <wp:effectExtent l="0" t="0" r="0" b="571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1" w:type="dxa"/>
            <w:gridSpan w:val="2"/>
          </w:tcPr>
          <w:p w:rsidR="00781A4B" w:rsidRPr="00A0458A" w:rsidRDefault="00781A4B" w:rsidP="00AE03E0">
            <w:pPr>
              <w:rPr>
                <w:rFonts w:asciiTheme="minorHAnsi" w:hAnsiTheme="minorHAnsi" w:cs="Calibri"/>
                <w:sz w:val="20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Република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Србија</w:t>
            </w:r>
            <w:proofErr w:type="spellEnd"/>
          </w:p>
          <w:p w:rsidR="00781A4B" w:rsidRPr="00A0458A" w:rsidRDefault="00781A4B" w:rsidP="00AE03E0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Аутономна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покрајина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Војводина</w:t>
            </w:r>
            <w:proofErr w:type="spellEnd"/>
          </w:p>
          <w:p w:rsidR="00781A4B" w:rsidRPr="00A0458A" w:rsidRDefault="00781A4B" w:rsidP="00AE03E0">
            <w:pPr>
              <w:rPr>
                <w:rFonts w:asciiTheme="minorHAnsi" w:hAnsiTheme="minorHAnsi" w:cs="Calibri"/>
                <w:sz w:val="20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b/>
              </w:rPr>
              <w:t>Покрa</w:t>
            </w:r>
            <w:proofErr w:type="gramStart"/>
            <w:r w:rsidRPr="00A0458A">
              <w:rPr>
                <w:rFonts w:asciiTheme="minorHAnsi" w:hAnsiTheme="minorHAnsi" w:cs="Calibri"/>
                <w:b/>
              </w:rPr>
              <w:t>јински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 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секрет</w:t>
            </w:r>
            <w:proofErr w:type="gramEnd"/>
            <w:r w:rsidRPr="00A0458A">
              <w:rPr>
                <w:rFonts w:asciiTheme="minorHAnsi" w:hAnsiTheme="minorHAnsi" w:cs="Calibri"/>
                <w:b/>
              </w:rPr>
              <w:t>aријaт</w:t>
            </w:r>
            <w:proofErr w:type="spellEnd"/>
            <w:r w:rsidRPr="00A0458A">
              <w:rPr>
                <w:rFonts w:asciiTheme="minorHAnsi" w:hAnsiTheme="minorHAnsi" w:cs="Calibri"/>
                <w:b/>
                <w:lang w:val="sr-Cyrl-RS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зa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енергетику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,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грађевинарство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 и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саобраћај</w:t>
            </w:r>
            <w:proofErr w:type="spellEnd"/>
          </w:p>
          <w:p w:rsidR="00781A4B" w:rsidRPr="00A0458A" w:rsidRDefault="00781A4B" w:rsidP="00AE03E0">
            <w:pPr>
              <w:rPr>
                <w:rFonts w:asciiTheme="minorHAnsi" w:hAnsiTheme="minorHAnsi" w:cs="Calibri"/>
                <w:sz w:val="20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Сектор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за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саобраћај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и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инспекцијски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надзор</w:t>
            </w:r>
            <w:proofErr w:type="spellEnd"/>
          </w:p>
          <w:p w:rsidR="00781A4B" w:rsidRPr="00A0458A" w:rsidRDefault="00781A4B" w:rsidP="00AE03E0">
            <w:pPr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Од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  <w:lang w:val="en-GB"/>
              </w:rPr>
              <w:t>e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љење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за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инспекцијски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надзору</w:t>
            </w:r>
          </w:p>
          <w:p w:rsidR="00781A4B" w:rsidRPr="00A0458A" w:rsidRDefault="00781A4B" w:rsidP="00AE03E0">
            <w:pPr>
              <w:rPr>
                <w:rFonts w:asciiTheme="minorHAnsi" w:hAnsiTheme="minorHAnsi" w:cs="Calibri"/>
                <w:sz w:val="4"/>
                <w:szCs w:val="16"/>
              </w:rPr>
            </w:pP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Од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  <w:lang w:val="sr-Cyrl-RS"/>
              </w:rPr>
              <w:t xml:space="preserve">сек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за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инспекцијски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надзор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у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саобраћају</w:t>
            </w:r>
            <w:proofErr w:type="spellEnd"/>
          </w:p>
          <w:p w:rsidR="00781A4B" w:rsidRPr="00A0458A" w:rsidRDefault="00781A4B" w:rsidP="00AE03E0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sz w:val="6"/>
                <w:szCs w:val="16"/>
              </w:rPr>
            </w:pPr>
          </w:p>
          <w:p w:rsidR="00781A4B" w:rsidRPr="00A0458A" w:rsidRDefault="00781A4B" w:rsidP="00AE03E0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sz w:val="18"/>
                <w:szCs w:val="16"/>
              </w:rPr>
            </w:pP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Булевар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Михајла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Пупина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16, 21000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Нови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Сад</w:t>
            </w:r>
            <w:proofErr w:type="spellEnd"/>
          </w:p>
          <w:p w:rsidR="00781A4B" w:rsidRPr="00A0458A" w:rsidRDefault="00781A4B" w:rsidP="00AE03E0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color w:val="00000A"/>
                <w:sz w:val="18"/>
                <w:szCs w:val="16"/>
                <w:lang w:val="de-DE"/>
              </w:rPr>
            </w:pPr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Т: +381 21 488 15 59       F: +381 21 </w:t>
            </w:r>
            <w:proofErr w:type="gramStart"/>
            <w:r w:rsidRPr="00A0458A">
              <w:rPr>
                <w:rFonts w:asciiTheme="minorHAnsi" w:hAnsiTheme="minorHAnsi" w:cs="Calibri"/>
                <w:sz w:val="18"/>
                <w:szCs w:val="16"/>
              </w:rPr>
              <w:t>456  653</w:t>
            </w:r>
            <w:proofErr w:type="gram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 </w:t>
            </w:r>
          </w:p>
          <w:p w:rsidR="00781A4B" w:rsidRPr="00A0458A" w:rsidRDefault="00781A4B" w:rsidP="00AE03E0">
            <w:pPr>
              <w:rPr>
                <w:rFonts w:asciiTheme="minorHAnsi" w:hAnsiTheme="minorHAnsi" w:cs="Calibri"/>
                <w:sz w:val="8"/>
                <w:lang w:val="de-DE"/>
              </w:rPr>
            </w:pPr>
            <w:r w:rsidRPr="00A0458A">
              <w:rPr>
                <w:rFonts w:asciiTheme="minorHAnsi" w:hAnsiTheme="minorHAnsi" w:cs="Calibri"/>
                <w:color w:val="00000A"/>
                <w:sz w:val="18"/>
                <w:szCs w:val="16"/>
                <w:lang w:val="de-DE"/>
              </w:rPr>
              <w:t xml:space="preserve">e-mail: </w:t>
            </w:r>
            <w:r>
              <w:fldChar w:fldCharType="begin"/>
            </w:r>
            <w:r>
              <w:instrText xml:space="preserve"> HYPERLINK "mailto:psegs@vojvodina.gov.rs" </w:instrText>
            </w:r>
            <w:r>
              <w:fldChar w:fldCharType="separate"/>
            </w:r>
            <w:r w:rsidRPr="00A0458A">
              <w:rPr>
                <w:rStyle w:val="Hyperlink"/>
                <w:rFonts w:asciiTheme="minorHAnsi" w:hAnsiTheme="minorHAnsi" w:cs="Calibri"/>
                <w:sz w:val="18"/>
                <w:szCs w:val="16"/>
                <w:lang w:val="de-DE"/>
              </w:rPr>
              <w:t>psegs@vojvodina.gov.rs</w:t>
            </w:r>
            <w:r>
              <w:rPr>
                <w:rStyle w:val="Hyperlink"/>
                <w:rFonts w:asciiTheme="minorHAnsi" w:hAnsiTheme="minorHAnsi" w:cs="Calibri"/>
                <w:sz w:val="18"/>
                <w:szCs w:val="16"/>
                <w:lang w:val="de-DE"/>
              </w:rPr>
              <w:fldChar w:fldCharType="end"/>
            </w:r>
          </w:p>
          <w:p w:rsidR="00781A4B" w:rsidRPr="00A0458A" w:rsidRDefault="00781A4B" w:rsidP="00AE03E0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sz w:val="8"/>
                <w:lang w:val="de-DE"/>
              </w:rPr>
            </w:pPr>
          </w:p>
        </w:tc>
      </w:tr>
      <w:tr w:rsidR="00781A4B" w:rsidRPr="00A0458A" w:rsidTr="00AE03E0">
        <w:trPr>
          <w:trHeight w:val="302"/>
        </w:trPr>
        <w:tc>
          <w:tcPr>
            <w:tcW w:w="2565" w:type="dxa"/>
          </w:tcPr>
          <w:p w:rsidR="00781A4B" w:rsidRPr="00A0458A" w:rsidRDefault="00781A4B" w:rsidP="00AE03E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noProof/>
                <w:color w:val="000000"/>
                <w:lang w:val="ru-RU"/>
              </w:rPr>
            </w:pPr>
          </w:p>
        </w:tc>
        <w:tc>
          <w:tcPr>
            <w:tcW w:w="2850" w:type="dxa"/>
          </w:tcPr>
          <w:p w:rsidR="00781A4B" w:rsidRPr="00A0458A" w:rsidRDefault="00781A4B" w:rsidP="00AE03E0">
            <w:pPr>
              <w:rPr>
                <w:rFonts w:asciiTheme="minorHAnsi" w:hAnsiTheme="minorHAnsi"/>
                <w:sz w:val="16"/>
                <w:szCs w:val="16"/>
                <w:lang w:val="sr-Cyrl-RS"/>
              </w:rPr>
            </w:pPr>
            <w:r w:rsidRPr="00A0458A">
              <w:rPr>
                <w:rFonts w:asciiTheme="minorHAnsi" w:hAnsiTheme="minorHAnsi"/>
                <w:sz w:val="16"/>
                <w:szCs w:val="16"/>
              </w:rPr>
              <w:t xml:space="preserve">БРОЈ: : </w:t>
            </w:r>
            <w:r>
              <w:rPr>
                <w:rFonts w:asciiTheme="minorHAnsi" w:hAnsiTheme="minorHAnsi"/>
                <w:sz w:val="16"/>
                <w:szCs w:val="16"/>
                <w:lang w:val="sr-Cyrl-RS"/>
              </w:rPr>
              <w:t>143-340-13/2020-05</w:t>
            </w:r>
          </w:p>
        </w:tc>
        <w:tc>
          <w:tcPr>
            <w:tcW w:w="4791" w:type="dxa"/>
          </w:tcPr>
          <w:p w:rsidR="00781A4B" w:rsidRPr="00A0458A" w:rsidRDefault="00781A4B" w:rsidP="00AE03E0">
            <w:pPr>
              <w:rPr>
                <w:rFonts w:asciiTheme="minorHAnsi" w:hAnsiTheme="minorHAnsi"/>
                <w:sz w:val="16"/>
                <w:szCs w:val="16"/>
              </w:rPr>
            </w:pPr>
            <w:r w:rsidRPr="00A0458A">
              <w:rPr>
                <w:rFonts w:asciiTheme="minorHAnsi" w:hAnsiTheme="minorHAnsi"/>
                <w:sz w:val="16"/>
                <w:szCs w:val="16"/>
              </w:rPr>
              <w:t xml:space="preserve">ДАТУМ: </w:t>
            </w:r>
            <w:r w:rsidRPr="00A0458A">
              <w:rPr>
                <w:rFonts w:asciiTheme="minorHAnsi" w:hAnsiTheme="minorHAnsi"/>
                <w:sz w:val="16"/>
                <w:szCs w:val="16"/>
                <w:lang w:val="sr-Cyrl-RS"/>
              </w:rPr>
              <w:t>23.11</w:t>
            </w:r>
            <w:r w:rsidRPr="00A0458A">
              <w:rPr>
                <w:rFonts w:asciiTheme="minorHAnsi" w:hAnsiTheme="minorHAnsi"/>
                <w:sz w:val="16"/>
                <w:szCs w:val="16"/>
              </w:rPr>
              <w:t>.2020.</w:t>
            </w:r>
          </w:p>
        </w:tc>
      </w:tr>
    </w:tbl>
    <w:p w:rsidR="00781A4B" w:rsidRPr="00A0458A" w:rsidRDefault="00781A4B" w:rsidP="00781A4B">
      <w:pPr>
        <w:ind w:right="-48"/>
        <w:jc w:val="both"/>
        <w:rPr>
          <w:rFonts w:asciiTheme="minorHAnsi" w:hAnsiTheme="minorHAnsi"/>
          <w:b/>
          <w:lang w:val="sr-Cyrl-CS"/>
        </w:rPr>
      </w:pPr>
      <w:r w:rsidRPr="00A0458A">
        <w:rPr>
          <w:rFonts w:asciiTheme="minorHAnsi" w:hAnsiTheme="minorHAnsi"/>
          <w:sz w:val="20"/>
        </w:rPr>
        <w:t xml:space="preserve">     </w:t>
      </w:r>
      <w:r w:rsidRPr="00A0458A">
        <w:rPr>
          <w:rFonts w:asciiTheme="minorHAnsi" w:hAnsiTheme="minorHAnsi"/>
          <w:sz w:val="20"/>
          <w:lang w:val="ru-RU"/>
        </w:rPr>
        <w:t xml:space="preserve"> </w:t>
      </w:r>
      <w:r w:rsidRPr="00A0458A">
        <w:rPr>
          <w:rFonts w:asciiTheme="minorHAnsi" w:hAnsiTheme="minorHAnsi" w:cs="Calibri"/>
          <w:szCs w:val="28"/>
          <w:lang w:val="ru-RU"/>
        </w:rPr>
        <w:t xml:space="preserve">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781A4B" w:rsidRPr="00A0458A" w:rsidTr="00781A4B">
        <w:trPr>
          <w:trHeight w:val="549"/>
        </w:trPr>
        <w:tc>
          <w:tcPr>
            <w:tcW w:w="9323" w:type="dxa"/>
            <w:shd w:val="clear" w:color="auto" w:fill="C5E0B3" w:themeFill="accent6" w:themeFillTint="66"/>
          </w:tcPr>
          <w:p w:rsidR="00781A4B" w:rsidRPr="00A0458A" w:rsidRDefault="00781A4B" w:rsidP="00AE03E0">
            <w:pPr>
              <w:spacing w:before="120"/>
              <w:jc w:val="center"/>
              <w:rPr>
                <w:rFonts w:asciiTheme="minorHAnsi" w:hAnsiTheme="minorHAnsi" w:cs="Calibri"/>
                <w:b/>
                <w:sz w:val="28"/>
                <w:szCs w:val="22"/>
                <w:lang w:val="sr-Cyrl-RS"/>
              </w:rPr>
            </w:pPr>
            <w:r w:rsidRPr="00A0458A">
              <w:rPr>
                <w:rFonts w:asciiTheme="minorHAnsi" w:hAnsiTheme="minorHAnsi" w:cs="Calibri"/>
                <w:b/>
                <w:sz w:val="28"/>
                <w:szCs w:val="22"/>
                <w:lang w:val="sr-Cyrl-RS"/>
              </w:rPr>
              <w:t>Годишњи план рада инспекције железничког саобраћаја за 2021. годину</w:t>
            </w:r>
          </w:p>
        </w:tc>
      </w:tr>
    </w:tbl>
    <w:p w:rsidR="00781A4B" w:rsidRPr="00A0458A" w:rsidRDefault="00781A4B" w:rsidP="00781A4B">
      <w:pPr>
        <w:ind w:firstLine="720"/>
        <w:jc w:val="both"/>
        <w:rPr>
          <w:rFonts w:asciiTheme="minorHAnsi" w:hAnsiTheme="minorHAnsi" w:cs="Calibri"/>
          <w:b/>
          <w:sz w:val="22"/>
          <w:szCs w:val="22"/>
          <w:lang w:val="ru-RU"/>
        </w:rPr>
      </w:pPr>
    </w:p>
    <w:p w:rsidR="00781A4B" w:rsidRPr="00A0458A" w:rsidRDefault="00781A4B" w:rsidP="00781A4B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 w:line="240" w:lineRule="auto"/>
        <w:ind w:left="709" w:firstLine="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УВОД</w:t>
      </w:r>
    </w:p>
    <w:p w:rsidR="00781A4B" w:rsidRPr="00A0458A" w:rsidRDefault="00781A4B" w:rsidP="00781A4B">
      <w:pPr>
        <w:rPr>
          <w:rFonts w:asciiTheme="minorHAnsi" w:hAnsiTheme="minorHAnsi" w:cs="Calibri"/>
          <w:b/>
          <w:sz w:val="22"/>
          <w:szCs w:val="22"/>
          <w:lang w:val="sr-Cyrl-RS"/>
        </w:rPr>
      </w:pPr>
    </w:p>
    <w:p w:rsidR="00781A4B" w:rsidRPr="00A0458A" w:rsidRDefault="00781A4B" w:rsidP="00781A4B">
      <w:pPr>
        <w:jc w:val="both"/>
        <w:rPr>
          <w:rFonts w:asciiTheme="minorHAnsi" w:hAnsiTheme="minorHAnsi" w:cs="Calibri"/>
          <w:sz w:val="22"/>
          <w:szCs w:val="22"/>
          <w:lang w:val="sr-Cyrl-RS"/>
        </w:rPr>
      </w:pPr>
      <w:r w:rsidRPr="00A0458A">
        <w:rPr>
          <w:rFonts w:asciiTheme="minorHAnsi" w:hAnsiTheme="minorHAnsi" w:cs="Calibri"/>
          <w:sz w:val="22"/>
          <w:szCs w:val="22"/>
          <w:lang w:val="sr-Cyrl-RS"/>
        </w:rPr>
        <w:tab/>
        <w:t xml:space="preserve">План рада инспекције железничког саобраћаја за 2021. годину је донет на основу члана 10. Закона о инспекцијском надзору („Службени гласник РС“ бр. 36/15, 44/18 - др. закон и 95/18). </w:t>
      </w:r>
    </w:p>
    <w:p w:rsidR="00781A4B" w:rsidRPr="00A0458A" w:rsidRDefault="00781A4B" w:rsidP="00781A4B">
      <w:pPr>
        <w:jc w:val="both"/>
        <w:rPr>
          <w:rFonts w:asciiTheme="minorHAnsi" w:hAnsiTheme="minorHAnsi" w:cs="Calibri"/>
          <w:sz w:val="22"/>
          <w:szCs w:val="22"/>
          <w:lang w:val="sr-Cyrl-RS"/>
        </w:rPr>
      </w:pPr>
      <w:r w:rsidRPr="00A0458A">
        <w:rPr>
          <w:rFonts w:asciiTheme="minorHAnsi" w:hAnsiTheme="minorHAnsi" w:cs="Calibri"/>
          <w:sz w:val="22"/>
          <w:szCs w:val="22"/>
          <w:lang w:val="sr-Cyrl-RS"/>
        </w:rPr>
        <w:tab/>
        <w:t xml:space="preserve">Полазећи од Методологије планирања инспекцијског надзора и Анекса 1 наведене методологије </w:t>
      </w:r>
      <w:r w:rsidRPr="00A0458A">
        <w:rPr>
          <w:rFonts w:asciiTheme="minorHAnsi" w:hAnsiTheme="minorHAnsi" w:cs="Calibri"/>
          <w:color w:val="000000"/>
          <w:lang w:eastAsia="sr-Latn-RS"/>
        </w:rPr>
        <w:t>(</w:t>
      </w:r>
      <w:hyperlink r:id="rId8" w:tgtFrame="_blank" w:history="1">
        <w:r w:rsidRPr="00A0458A">
          <w:rPr>
            <w:rFonts w:asciiTheme="minorHAnsi" w:hAnsiTheme="minorHAnsi" w:cs="Calibri"/>
            <w:color w:val="954F72"/>
            <w:u w:val="single"/>
            <w:lang w:eastAsia="sr-Latn-RS"/>
          </w:rPr>
          <w:t>https://inspektor.gov.rs/cms/documents/16355/0</w:t>
        </w:r>
      </w:hyperlink>
      <w:r w:rsidRPr="00A0458A">
        <w:rPr>
          <w:rFonts w:asciiTheme="minorHAnsi" w:hAnsiTheme="minorHAnsi" w:cs="Calibri"/>
          <w:color w:val="000000"/>
          <w:lang w:eastAsia="sr-Latn-RS"/>
        </w:rPr>
        <w:t>)</w:t>
      </w:r>
      <w:r w:rsidRPr="00A0458A">
        <w:rPr>
          <w:rFonts w:asciiTheme="minorHAnsi" w:hAnsiTheme="minorHAnsi" w:cs="Calibri"/>
          <w:color w:val="000000"/>
          <w:lang w:val="sr-Cyrl-RS" w:eastAsia="sr-Latn-RS"/>
        </w:rPr>
        <w:t xml:space="preserve"> </w:t>
      </w:r>
      <w:r w:rsidRPr="00A0458A">
        <w:rPr>
          <w:rFonts w:asciiTheme="minorHAnsi" w:hAnsiTheme="minorHAnsi" w:cs="Calibri"/>
          <w:sz w:val="22"/>
          <w:szCs w:val="22"/>
          <w:lang w:val="sr-Cyrl-RS"/>
        </w:rPr>
        <w:t>утврђени су елементи плана рада инспекције железничког саобраћаја, који се састоје од:</w:t>
      </w:r>
    </w:p>
    <w:p w:rsidR="00781A4B" w:rsidRPr="00A0458A" w:rsidRDefault="00781A4B" w:rsidP="00781A4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Calibri"/>
          <w:lang w:val="sr-Cyrl-RS"/>
        </w:rPr>
      </w:pPr>
      <w:r w:rsidRPr="00A0458A">
        <w:rPr>
          <w:rFonts w:asciiTheme="minorHAnsi" w:hAnsiTheme="minorHAnsi" w:cs="Calibri"/>
          <w:lang w:val="sr-Cyrl-RS"/>
        </w:rPr>
        <w:t>Прописа који су предмет инспекцијског надзора,</w:t>
      </w:r>
    </w:p>
    <w:p w:rsidR="00781A4B" w:rsidRPr="00A0458A" w:rsidRDefault="00781A4B" w:rsidP="00781A4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Calibri"/>
          <w:lang w:val="sr-Cyrl-RS"/>
        </w:rPr>
      </w:pPr>
      <w:r w:rsidRPr="00A0458A">
        <w:rPr>
          <w:rFonts w:asciiTheme="minorHAnsi" w:hAnsiTheme="minorHAnsi" w:cs="Calibri"/>
          <w:lang w:val="sr-Cyrl-RS"/>
        </w:rPr>
        <w:t>Циљева инспекцијског надзора,</w:t>
      </w:r>
    </w:p>
    <w:p w:rsidR="00781A4B" w:rsidRPr="00A0458A" w:rsidRDefault="00781A4B" w:rsidP="00781A4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Calibri"/>
          <w:lang w:val="sr-Cyrl-RS"/>
        </w:rPr>
      </w:pPr>
      <w:r w:rsidRPr="00A0458A">
        <w:rPr>
          <w:rFonts w:asciiTheme="minorHAnsi" w:hAnsiTheme="minorHAnsi" w:cs="Calibri"/>
          <w:lang w:val="sr-Cyrl-RS"/>
        </w:rPr>
        <w:t>Учесталости и обухвата вршења инспекцијског надзора по областима и сваком од степена ризика,</w:t>
      </w:r>
    </w:p>
    <w:p w:rsidR="00781A4B" w:rsidRPr="00A0458A" w:rsidRDefault="00781A4B" w:rsidP="00781A4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Calibri"/>
          <w:lang w:val="sr-Cyrl-RS"/>
        </w:rPr>
      </w:pPr>
      <w:r w:rsidRPr="00A0458A">
        <w:rPr>
          <w:rFonts w:asciiTheme="minorHAnsi" w:hAnsiTheme="minorHAnsi" w:cs="Calibri"/>
          <w:lang w:val="sr-Cyrl-RS"/>
        </w:rPr>
        <w:t>Података о ресурсима инспекције који ће бити опредељени за вршење надзора;</w:t>
      </w:r>
    </w:p>
    <w:p w:rsidR="00781A4B" w:rsidRPr="00A0458A" w:rsidRDefault="00781A4B" w:rsidP="00781A4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Calibri"/>
          <w:lang w:val="sr-Cyrl-RS"/>
        </w:rPr>
      </w:pPr>
      <w:r w:rsidRPr="00A0458A">
        <w:rPr>
          <w:rFonts w:asciiTheme="minorHAnsi" w:hAnsiTheme="minorHAnsi" w:cs="Calibri"/>
          <w:lang w:val="sr-Cyrl-RS"/>
        </w:rPr>
        <w:t>Опремљености инспектора за инспекцијски надзор;</w:t>
      </w:r>
    </w:p>
    <w:p w:rsidR="00781A4B" w:rsidRPr="00A0458A" w:rsidRDefault="00781A4B" w:rsidP="00781A4B">
      <w:pPr>
        <w:pStyle w:val="ListParagraph"/>
        <w:numPr>
          <w:ilvl w:val="0"/>
          <w:numId w:val="12"/>
        </w:numPr>
        <w:jc w:val="both"/>
        <w:rPr>
          <w:rFonts w:asciiTheme="minorHAnsi" w:hAnsiTheme="minorHAnsi" w:cs="Calibri"/>
          <w:lang w:val="sr-Cyrl-RS"/>
        </w:rPr>
      </w:pPr>
      <w:r w:rsidRPr="00A0458A">
        <w:rPr>
          <w:rFonts w:asciiTheme="minorHAnsi" w:hAnsiTheme="minorHAnsi" w:cs="Calibri"/>
          <w:lang w:val="sr-Cyrl-RS"/>
        </w:rPr>
        <w:t>Опрерационализације годишњег плана.</w:t>
      </w:r>
    </w:p>
    <w:p w:rsidR="00781A4B" w:rsidRPr="00A0458A" w:rsidRDefault="00781A4B" w:rsidP="00781A4B">
      <w:pPr>
        <w:pStyle w:val="ListParagraph"/>
        <w:jc w:val="both"/>
        <w:rPr>
          <w:rFonts w:asciiTheme="minorHAnsi" w:hAnsiTheme="minorHAnsi" w:cs="Calibri"/>
          <w:lang w:val="sr-Cyrl-RS"/>
        </w:rPr>
      </w:pP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 w:line="240" w:lineRule="auto"/>
        <w:ind w:left="709" w:firstLine="0"/>
        <w:contextualSpacing w:val="0"/>
        <w:rPr>
          <w:rFonts w:asciiTheme="minorHAnsi" w:hAnsiTheme="minorHAnsi"/>
          <w:b/>
          <w:lang w:val="sr-Cyrl-CS"/>
        </w:rPr>
      </w:pPr>
      <w:r w:rsidRPr="00A0458A">
        <w:rPr>
          <w:rFonts w:asciiTheme="minorHAnsi" w:hAnsiTheme="minorHAnsi"/>
          <w:b/>
          <w:lang w:val="sr-Cyrl-CS"/>
        </w:rPr>
        <w:t>П</w:t>
      </w:r>
      <w:r>
        <w:rPr>
          <w:rFonts w:asciiTheme="minorHAnsi" w:hAnsiTheme="minorHAnsi"/>
          <w:b/>
          <w:lang w:val="sr-Cyrl-CS"/>
        </w:rPr>
        <w:t>РОПИСИ</w:t>
      </w:r>
      <w:r w:rsidRPr="00A0458A">
        <w:rPr>
          <w:rFonts w:asciiTheme="minorHAnsi" w:hAnsiTheme="minorHAnsi"/>
          <w:b/>
          <w:lang w:val="sr-Cyrl-CS"/>
        </w:rPr>
        <w:t xml:space="preserve"> 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418"/>
        <w:contextualSpacing w:val="0"/>
        <w:rPr>
          <w:rFonts w:asciiTheme="minorHAnsi" w:hAnsiTheme="minorHAnsi"/>
          <w:b/>
          <w:lang w:val="sr-Cyrl-CS"/>
        </w:rPr>
      </w:pPr>
      <w:r w:rsidRPr="00A0458A">
        <w:rPr>
          <w:rFonts w:asciiTheme="minorHAnsi" w:hAnsiTheme="minorHAnsi"/>
          <w:b/>
          <w:lang w:val="sr-Cyrl-CS"/>
        </w:rPr>
        <w:t xml:space="preserve">Поступање инспектора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Theme="minorHAnsi" w:hAnsiTheme="minorHAnsi"/>
        </w:rPr>
      </w:pPr>
      <w:r w:rsidRPr="00A0458A">
        <w:rPr>
          <w:rFonts w:asciiTheme="minorHAnsi" w:hAnsiTheme="minorHAnsi"/>
        </w:rPr>
        <w:t>У вршењу инспекцијског надзора инспектор поступа по Закону о инспекцијском надзору („Службени гласник РС“, бр. 36/15 и 44/2018-др.закон и 95/2018)</w:t>
      </w:r>
      <w:r w:rsidRPr="00A0458A">
        <w:rPr>
          <w:rFonts w:asciiTheme="minorHAnsi" w:hAnsiTheme="minorHAnsi"/>
          <w:lang w:val="sr-Cyrl-RS"/>
        </w:rPr>
        <w:t xml:space="preserve">, </w:t>
      </w:r>
      <w:r w:rsidRPr="00A0458A">
        <w:rPr>
          <w:rFonts w:asciiTheme="minorHAnsi" w:hAnsiTheme="minorHAnsi"/>
        </w:rPr>
        <w:t>Закону о општем управном поступку („Службени гласник РС“, бр. 18/2016 и 95/2018 – аутентично тумачење) и Закон</w:t>
      </w:r>
      <w:r w:rsidRPr="00A0458A">
        <w:rPr>
          <w:rFonts w:asciiTheme="minorHAnsi" w:hAnsiTheme="minorHAnsi"/>
          <w:lang w:val="sr-Cyrl-RS"/>
        </w:rPr>
        <w:t>у</w:t>
      </w:r>
      <w:r w:rsidRPr="00A0458A">
        <w:rPr>
          <w:rFonts w:asciiTheme="minorHAnsi" w:hAnsiTheme="minorHAnsi"/>
        </w:rPr>
        <w:t xml:space="preserve"> о прекршајима ("Службени гласник РС", бр. 65/13, 13/16, 98/16 – УС, 91/2019 </w:t>
      </w:r>
      <w:r w:rsidRPr="00A0458A">
        <w:rPr>
          <w:rFonts w:asciiTheme="minorHAnsi" w:hAnsiTheme="minorHAnsi"/>
          <w:lang w:val="en-US"/>
        </w:rPr>
        <w:t xml:space="preserve">и </w:t>
      </w:r>
      <w:r w:rsidRPr="00A0458A">
        <w:rPr>
          <w:rFonts w:asciiTheme="minorHAnsi" w:hAnsiTheme="minorHAnsi"/>
          <w:lang w:val="sr-Cyrl-RS"/>
        </w:rPr>
        <w:t>91/2019-др.закон</w:t>
      </w:r>
      <w:r w:rsidRPr="00A0458A">
        <w:rPr>
          <w:rFonts w:asciiTheme="minorHAnsi" w:hAnsiTheme="minorHAnsi"/>
        </w:rPr>
        <w:t>)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418"/>
        <w:contextualSpacing w:val="0"/>
        <w:rPr>
          <w:rFonts w:asciiTheme="minorHAnsi" w:hAnsiTheme="minorHAnsi"/>
          <w:b/>
          <w:lang w:val="sr-Cyrl-CS"/>
        </w:rPr>
      </w:pPr>
      <w:r w:rsidRPr="00A0458A">
        <w:rPr>
          <w:rFonts w:asciiTheme="minorHAnsi" w:hAnsiTheme="minorHAnsi"/>
          <w:b/>
          <w:lang w:val="sr-Cyrl-CS"/>
        </w:rPr>
        <w:t>Инспектор контролише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Примену одредби:</w:t>
      </w:r>
    </w:p>
    <w:p w:rsidR="00781A4B" w:rsidRPr="00A0458A" w:rsidRDefault="00781A4B" w:rsidP="00781A4B">
      <w:pPr>
        <w:pStyle w:val="ListParagraph"/>
        <w:numPr>
          <w:ilvl w:val="0"/>
          <w:numId w:val="3"/>
        </w:numPr>
        <w:spacing w:before="120" w:after="120" w:line="240" w:lineRule="auto"/>
        <w:ind w:left="1134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bCs/>
          <w:lang w:val="sr-Cyrl-CS"/>
        </w:rPr>
        <w:t>Закона о железници ("Службени гласник РС", бр. 41/2018), Закона о безбедности у железничком саобраћају ("Службени  гласник РС", бр. 41/2018), Закона о интероперабилности железничког система ("Службени  гласник РС", бр. 41/2018)</w:t>
      </w:r>
      <w:r w:rsidRPr="00A0458A">
        <w:rPr>
          <w:rFonts w:asciiTheme="minorHAnsi" w:hAnsiTheme="minorHAnsi"/>
          <w:lang w:val="sr-Cyrl-CS"/>
        </w:rPr>
        <w:t>, и</w:t>
      </w:r>
      <w:r w:rsidRPr="00A0458A">
        <w:rPr>
          <w:rFonts w:asciiTheme="minorHAnsi" w:hAnsiTheme="minorHAnsi"/>
        </w:rPr>
        <w:t>: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spacing w:before="120" w:after="120" w:line="240" w:lineRule="auto"/>
        <w:ind w:left="15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RS"/>
        </w:rPr>
        <w:t>20</w:t>
      </w:r>
      <w:r w:rsidRPr="00A0458A">
        <w:rPr>
          <w:rFonts w:asciiTheme="minorHAnsi" w:hAnsiTheme="minorHAnsi"/>
        </w:rPr>
        <w:t xml:space="preserve"> </w:t>
      </w:r>
      <w:r w:rsidRPr="00A0458A">
        <w:rPr>
          <w:rFonts w:asciiTheme="minorHAnsi" w:hAnsiTheme="minorHAnsi"/>
          <w:lang w:val="sr-Cyrl-RS"/>
        </w:rPr>
        <w:t xml:space="preserve">подзаконска </w:t>
      </w:r>
      <w:r w:rsidRPr="00A0458A">
        <w:rPr>
          <w:rFonts w:asciiTheme="minorHAnsi" w:hAnsiTheme="minorHAnsi"/>
          <w:lang w:val="sr-Cyrl-CS"/>
        </w:rPr>
        <w:t xml:space="preserve">прописа (Правилници, Упутства и Уредбе) донетих за спровођење закона од стране министарства надлежног за саобраћај и 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spacing w:before="120" w:after="120" w:line="240" w:lineRule="auto"/>
        <w:ind w:left="15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43 </w:t>
      </w:r>
      <w:r w:rsidRPr="00A0458A">
        <w:rPr>
          <w:rFonts w:asciiTheme="minorHAnsi" w:hAnsiTheme="minorHAnsi"/>
          <w:lang w:val="sr-Cyrl-RS"/>
        </w:rPr>
        <w:t xml:space="preserve">подзаконска </w:t>
      </w:r>
      <w:r w:rsidRPr="00A0458A">
        <w:rPr>
          <w:rFonts w:asciiTheme="minorHAnsi" w:hAnsiTheme="minorHAnsi"/>
          <w:lang w:val="sr-Cyrl-CS"/>
        </w:rPr>
        <w:t xml:space="preserve">прописа (Правилници, Упутства и процедуре) Дирекције за железнице Р. Србије, 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spacing w:after="0" w:line="240" w:lineRule="auto"/>
        <w:ind w:left="15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близу 200 прописа које доносе управљач и превозници у железничком саобраћају за:</w:t>
      </w:r>
    </w:p>
    <w:p w:rsidR="00781A4B" w:rsidRPr="00A0458A" w:rsidRDefault="00781A4B" w:rsidP="00781A4B">
      <w:pPr>
        <w:pStyle w:val="ListParagraph"/>
        <w:numPr>
          <w:ilvl w:val="2"/>
          <w:numId w:val="3"/>
        </w:numPr>
        <w:spacing w:after="0" w:line="240" w:lineRule="auto"/>
        <w:ind w:left="198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примену законских и подзаконских прописа (преузета издања Заједнице ЈЖ), </w:t>
      </w:r>
    </w:p>
    <w:p w:rsidR="00781A4B" w:rsidRPr="00A0458A" w:rsidRDefault="00781A4B" w:rsidP="00781A4B">
      <w:pPr>
        <w:pStyle w:val="ListParagraph"/>
        <w:numPr>
          <w:ilvl w:val="2"/>
          <w:numId w:val="3"/>
        </w:numPr>
        <w:spacing w:after="0" w:line="240" w:lineRule="auto"/>
        <w:ind w:left="198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Система управљања безбедносшћу код управљача и код превозника;</w:t>
      </w:r>
    </w:p>
    <w:p w:rsidR="00781A4B" w:rsidRPr="00A0458A" w:rsidRDefault="00781A4B" w:rsidP="00781A4B">
      <w:pPr>
        <w:pStyle w:val="ListParagraph"/>
        <w:numPr>
          <w:ilvl w:val="2"/>
          <w:numId w:val="3"/>
        </w:numPr>
        <w:spacing w:after="0" w:line="240" w:lineRule="auto"/>
        <w:ind w:left="198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lastRenderedPageBreak/>
        <w:t xml:space="preserve">Пословни редови станица I и II део и Технолошки процеси рада станица на територији АПВ, </w:t>
      </w:r>
    </w:p>
    <w:p w:rsidR="00781A4B" w:rsidRPr="00A0458A" w:rsidRDefault="00781A4B" w:rsidP="00781A4B">
      <w:pPr>
        <w:pStyle w:val="ListParagraph"/>
        <w:numPr>
          <w:ilvl w:val="2"/>
          <w:numId w:val="3"/>
        </w:numPr>
        <w:spacing w:after="0" w:line="240" w:lineRule="auto"/>
        <w:ind w:left="198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Пословници о раду превозника,</w:t>
      </w:r>
    </w:p>
    <w:p w:rsidR="00781A4B" w:rsidRPr="00A0458A" w:rsidRDefault="00781A4B" w:rsidP="00781A4B">
      <w:pPr>
        <w:pStyle w:val="ListParagraph"/>
        <w:numPr>
          <w:ilvl w:val="2"/>
          <w:numId w:val="3"/>
        </w:numPr>
        <w:spacing w:after="0" w:line="240" w:lineRule="auto"/>
        <w:ind w:left="198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Пословници о раду техничко колских служби,</w:t>
      </w:r>
    </w:p>
    <w:p w:rsidR="00781A4B" w:rsidRPr="00A0458A" w:rsidRDefault="00781A4B" w:rsidP="00781A4B">
      <w:pPr>
        <w:pStyle w:val="ListParagraph"/>
        <w:numPr>
          <w:ilvl w:val="2"/>
          <w:numId w:val="3"/>
        </w:numPr>
        <w:spacing w:after="0" w:line="240" w:lineRule="auto"/>
        <w:ind w:left="198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Пословници о организацији вуче возова;</w:t>
      </w:r>
    </w:p>
    <w:p w:rsidR="00781A4B" w:rsidRPr="00A0458A" w:rsidRDefault="00781A4B" w:rsidP="00781A4B">
      <w:pPr>
        <w:pStyle w:val="ListParagraph"/>
        <w:numPr>
          <w:ilvl w:val="0"/>
          <w:numId w:val="3"/>
        </w:numPr>
        <w:ind w:left="1134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Конвенција о међународним железничким превозима</w:t>
      </w:r>
      <w:r w:rsidRPr="00A0458A">
        <w:rPr>
          <w:rFonts w:asciiTheme="minorHAnsi" w:hAnsiTheme="minorHAnsi"/>
        </w:rPr>
        <w:t xml:space="preserve"> - COTIF</w:t>
      </w:r>
      <w:r w:rsidRPr="00A0458A">
        <w:rPr>
          <w:rFonts w:asciiTheme="minorHAnsi" w:hAnsiTheme="minorHAnsi"/>
          <w:lang w:val="sr-Cyrl-CS"/>
        </w:rPr>
        <w:t>: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ind w:left="1560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Додатак А – Једнообразна правила о уговору о међународном железничком превозу путника и пртљага (</w:t>
      </w:r>
      <w:r w:rsidRPr="00A0458A">
        <w:rPr>
          <w:rFonts w:asciiTheme="minorHAnsi" w:hAnsiTheme="minorHAnsi"/>
        </w:rPr>
        <w:t>CIV),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ind w:left="1560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Додатак </w:t>
      </w:r>
      <w:r w:rsidRPr="00A0458A">
        <w:rPr>
          <w:rFonts w:asciiTheme="minorHAnsi" w:hAnsiTheme="minorHAnsi"/>
        </w:rPr>
        <w:t>B</w:t>
      </w:r>
      <w:r w:rsidRPr="00A0458A">
        <w:rPr>
          <w:rFonts w:asciiTheme="minorHAnsi" w:hAnsiTheme="minorHAnsi"/>
          <w:lang w:val="sr-Cyrl-CS"/>
        </w:rPr>
        <w:t xml:space="preserve"> – </w:t>
      </w:r>
      <w:r w:rsidRPr="00A0458A">
        <w:rPr>
          <w:rFonts w:asciiTheme="minorHAnsi" w:hAnsiTheme="minorHAnsi"/>
        </w:rPr>
        <w:t xml:space="preserve">  </w:t>
      </w:r>
      <w:r w:rsidRPr="00A0458A">
        <w:rPr>
          <w:rFonts w:asciiTheme="minorHAnsi" w:hAnsiTheme="minorHAnsi"/>
          <w:lang w:val="sr-Cyrl-CS"/>
        </w:rPr>
        <w:t>Једнообразна правила о уговору о међународном железничком превозу</w:t>
      </w:r>
      <w:r w:rsidRPr="00A0458A">
        <w:rPr>
          <w:rFonts w:asciiTheme="minorHAnsi" w:hAnsiTheme="minorHAnsi"/>
        </w:rPr>
        <w:t xml:space="preserve"> robe железницама (CIM),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ind w:left="1560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Додатак </w:t>
      </w:r>
      <w:r w:rsidRPr="00A0458A">
        <w:rPr>
          <w:rFonts w:asciiTheme="minorHAnsi" w:hAnsiTheme="minorHAnsi"/>
        </w:rPr>
        <w:t>D</w:t>
      </w:r>
      <w:r w:rsidRPr="00A0458A">
        <w:rPr>
          <w:rFonts w:asciiTheme="minorHAnsi" w:hAnsiTheme="minorHAnsi"/>
          <w:lang w:val="sr-Cyrl-CS"/>
        </w:rPr>
        <w:t xml:space="preserve"> – Једнообразна правила о уговору о употреби возила у међународном железничком саобраћају</w:t>
      </w:r>
      <w:r w:rsidRPr="00A0458A">
        <w:rPr>
          <w:rFonts w:asciiTheme="minorHAnsi" w:hAnsiTheme="minorHAnsi"/>
        </w:rPr>
        <w:t xml:space="preserve"> (CUV),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ind w:left="1560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Додатак Е – Једнообразна правила о уговору о коришћењу инфраструкутуре у међународном железничком саобраћају</w:t>
      </w:r>
      <w:r w:rsidRPr="00A0458A">
        <w:rPr>
          <w:rFonts w:asciiTheme="minorHAnsi" w:hAnsiTheme="minorHAnsi"/>
        </w:rPr>
        <w:t xml:space="preserve"> (CUI)</w:t>
      </w:r>
      <w:r w:rsidRPr="00A0458A">
        <w:rPr>
          <w:rFonts w:asciiTheme="minorHAnsi" w:hAnsiTheme="minorHAnsi"/>
          <w:lang w:val="sr-Cyrl-CS"/>
        </w:rPr>
        <w:t>,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ind w:left="1560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Додатак </w:t>
      </w:r>
      <w:r w:rsidRPr="00A0458A">
        <w:rPr>
          <w:rFonts w:asciiTheme="minorHAnsi" w:hAnsiTheme="minorHAnsi"/>
        </w:rPr>
        <w:t>F</w:t>
      </w:r>
      <w:r w:rsidRPr="00A0458A">
        <w:rPr>
          <w:rFonts w:asciiTheme="minorHAnsi" w:hAnsiTheme="minorHAnsi"/>
          <w:lang w:val="sr-Cyrl-CS"/>
        </w:rPr>
        <w:t xml:space="preserve"> – Јединствена правила о признавању техничких стандарда и усвајању јединствених техничких прописа који се примењују на железничка возна средства намењена за коришћење у међународном превозу (АPTU),</w:t>
      </w:r>
    </w:p>
    <w:p w:rsidR="00781A4B" w:rsidRPr="00A0458A" w:rsidRDefault="00781A4B" w:rsidP="00781A4B">
      <w:pPr>
        <w:pStyle w:val="ListParagraph"/>
        <w:numPr>
          <w:ilvl w:val="1"/>
          <w:numId w:val="3"/>
        </w:numPr>
        <w:ind w:left="1560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Додатак </w:t>
      </w:r>
      <w:r w:rsidRPr="00A0458A">
        <w:rPr>
          <w:rFonts w:asciiTheme="minorHAnsi" w:hAnsiTheme="minorHAnsi"/>
        </w:rPr>
        <w:t>G</w:t>
      </w:r>
      <w:r w:rsidRPr="00A0458A">
        <w:rPr>
          <w:rFonts w:asciiTheme="minorHAnsi" w:hAnsiTheme="minorHAnsi"/>
          <w:lang w:val="sr-Cyrl-CS"/>
        </w:rPr>
        <w:t xml:space="preserve"> – Једнообразна правила о техничком пријему железничких возних средстава  која се користе у међународном саобраћају (А</w:t>
      </w:r>
      <w:r w:rsidRPr="00A0458A">
        <w:rPr>
          <w:rFonts w:asciiTheme="minorHAnsi" w:hAnsiTheme="minorHAnsi"/>
        </w:rPr>
        <w:t>TMF</w:t>
      </w:r>
      <w:r w:rsidRPr="00A0458A">
        <w:rPr>
          <w:rFonts w:asciiTheme="minorHAnsi" w:hAnsiTheme="minorHAnsi"/>
          <w:lang w:val="sr-Cyrl-CS"/>
        </w:rPr>
        <w:t>);</w:t>
      </w:r>
    </w:p>
    <w:p w:rsidR="00781A4B" w:rsidRPr="00A0458A" w:rsidRDefault="00781A4B" w:rsidP="00781A4B">
      <w:pPr>
        <w:pStyle w:val="ListParagraph"/>
        <w:numPr>
          <w:ilvl w:val="0"/>
          <w:numId w:val="3"/>
        </w:numPr>
        <w:spacing w:before="120" w:after="120"/>
        <w:ind w:left="1134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за вршење пограничног железничког саобраћаја из Конвенција Влада Републике Србије са Владама Румуније, Мађарске, Хрватске и Босне и Херцеговине;</w:t>
      </w:r>
    </w:p>
    <w:p w:rsidR="00781A4B" w:rsidRPr="00A0458A" w:rsidRDefault="00781A4B" w:rsidP="00781A4B">
      <w:pPr>
        <w:pStyle w:val="ListParagraph"/>
        <w:numPr>
          <w:ilvl w:val="0"/>
          <w:numId w:val="3"/>
        </w:numPr>
        <w:spacing w:before="120" w:after="120"/>
        <w:ind w:left="1134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Закона о уговорима о превозу у железничком саобраћају ("Службени  гласник РС", бр. 38/2015).</w:t>
      </w:r>
    </w:p>
    <w:p w:rsidR="00781A4B" w:rsidRPr="00A0458A" w:rsidRDefault="00781A4B" w:rsidP="00781A4B">
      <w:pPr>
        <w:pStyle w:val="ListParagraph"/>
        <w:spacing w:before="120" w:after="120"/>
        <w:ind w:left="1134" w:right="-48"/>
        <w:jc w:val="both"/>
        <w:rPr>
          <w:rFonts w:asciiTheme="minorHAnsi" w:hAnsiTheme="minorHAnsi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 w:line="240" w:lineRule="auto"/>
        <w:ind w:left="709" w:firstLine="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ЦИЉЕВИ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Theme="minorHAnsi" w:hAnsiTheme="minorHAnsi"/>
          <w:lang w:val="sr-Cyrl-RS"/>
        </w:rPr>
      </w:pPr>
      <w:r w:rsidRPr="00A0458A">
        <w:rPr>
          <w:rFonts w:asciiTheme="minorHAnsi" w:hAnsiTheme="minorHAnsi"/>
          <w:lang w:val="sr-Cyrl-RS"/>
        </w:rPr>
        <w:t>Послови железничког транспорта обављају се у складу са материјалним законима и представљају послове од општег интереса и изузетног значаја за Р. Србију. Због тога је планом инспекцијског надзора утврђен општи и специфични (појединачни) циљеви.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418"/>
        <w:contextualSpacing w:val="0"/>
        <w:rPr>
          <w:rFonts w:asciiTheme="minorHAnsi" w:eastAsia="Times New Roman" w:hAnsiTheme="minorHAnsi" w:cs="Calibri"/>
          <w:b/>
          <w:sz w:val="24"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 xml:space="preserve">Општи циљ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Theme="minorHAnsi" w:hAnsiTheme="minorHAnsi"/>
          <w:lang w:val="sr-Cyrl-RS"/>
        </w:rPr>
      </w:pPr>
      <w:r w:rsidRPr="00A0458A">
        <w:rPr>
          <w:rFonts w:asciiTheme="minorHAnsi" w:hAnsiTheme="minorHAnsi"/>
          <w:lang w:val="sr-Cyrl-RS"/>
        </w:rPr>
        <w:t>Општи циљ плана је да омогући  усмеравање на оне активности и субјекте надзора који носе значајан ризик и где постоји јавни интерес у области заштите и одржавања инфраструктуре и обезбеђења несметаног и безбедног одвијања железничког саобраћаја на мрежи пруга и маневарског рада на индустријским колосецима. Општи циљ плана је усмерен</w:t>
      </w:r>
      <w:r>
        <w:rPr>
          <w:rFonts w:asciiTheme="minorHAnsi" w:hAnsiTheme="minorHAnsi"/>
          <w:lang w:val="sr-Cyrl-RS"/>
        </w:rPr>
        <w:t xml:space="preserve"> и</w:t>
      </w:r>
      <w:r w:rsidRPr="00A0458A">
        <w:rPr>
          <w:rFonts w:asciiTheme="minorHAnsi" w:hAnsiTheme="minorHAnsi"/>
          <w:lang w:val="sr-Cyrl-RS"/>
        </w:rPr>
        <w:t xml:space="preserve"> на осигурање законитости у пословању и поступању надзираних субјектата.  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418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 xml:space="preserve">Специфични циљеви </w:t>
      </w:r>
    </w:p>
    <w:p w:rsidR="00781A4B" w:rsidRPr="00323C18" w:rsidRDefault="00781A4B" w:rsidP="00781A4B">
      <w:pPr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323C18">
        <w:rPr>
          <w:rFonts w:asciiTheme="minorHAnsi" w:hAnsiTheme="minorHAnsi" w:cstheme="minorHAnsi"/>
          <w:sz w:val="22"/>
          <w:szCs w:val="22"/>
          <w:lang w:val="sr-Cyrl-RS"/>
        </w:rPr>
        <w:t>Специфични циљеви плана инспекцијског надзора за 2021. годину су:</w:t>
      </w:r>
    </w:p>
    <w:p w:rsidR="00781A4B" w:rsidRPr="00323C18" w:rsidRDefault="00781A4B" w:rsidP="00781A4B">
      <w:pPr>
        <w:pStyle w:val="ListParagraph"/>
        <w:numPr>
          <w:ilvl w:val="0"/>
          <w:numId w:val="13"/>
        </w:numPr>
        <w:spacing w:before="240" w:after="240" w:line="240" w:lineRule="auto"/>
        <w:ind w:hanging="357"/>
        <w:jc w:val="both"/>
        <w:rPr>
          <w:rFonts w:asciiTheme="minorHAnsi" w:hAnsiTheme="minorHAnsi" w:cstheme="minorHAnsi"/>
          <w:lang w:val="sr-Cyrl-RS"/>
        </w:rPr>
      </w:pPr>
      <w:r w:rsidRPr="00323C18">
        <w:rPr>
          <w:rFonts w:asciiTheme="minorHAnsi" w:hAnsiTheme="minorHAnsi" w:cstheme="minorHAnsi"/>
          <w:lang w:val="sr-Cyrl-RS"/>
        </w:rPr>
        <w:t>вршење непосредни инспекцијски надзор над применом закона и других прописа из области железничког саобраћаја и на индустријским колосецима;</w:t>
      </w:r>
    </w:p>
    <w:p w:rsidR="00781A4B" w:rsidRPr="00323C18" w:rsidRDefault="00781A4B" w:rsidP="00781A4B">
      <w:pPr>
        <w:pStyle w:val="ListParagraph"/>
        <w:numPr>
          <w:ilvl w:val="0"/>
          <w:numId w:val="13"/>
        </w:numPr>
        <w:spacing w:before="240" w:after="240" w:line="240" w:lineRule="auto"/>
        <w:ind w:hanging="357"/>
        <w:jc w:val="both"/>
        <w:rPr>
          <w:rFonts w:asciiTheme="minorHAnsi" w:hAnsiTheme="minorHAnsi" w:cstheme="minorHAnsi"/>
          <w:lang w:val="sr-Cyrl-RS"/>
        </w:rPr>
      </w:pPr>
      <w:r w:rsidRPr="00323C18">
        <w:rPr>
          <w:rFonts w:asciiTheme="minorHAnsi" w:hAnsiTheme="minorHAnsi" w:cstheme="minorHAnsi"/>
          <w:lang w:val="sr-Cyrl-RS"/>
        </w:rPr>
        <w:t>праћење закона и других прописа који уређују железнички систем и његове подсистеме;</w:t>
      </w:r>
    </w:p>
    <w:p w:rsidR="00781A4B" w:rsidRPr="00323C18" w:rsidRDefault="00781A4B" w:rsidP="00781A4B">
      <w:pPr>
        <w:pStyle w:val="ListParagraph"/>
        <w:numPr>
          <w:ilvl w:val="0"/>
          <w:numId w:val="13"/>
        </w:numPr>
        <w:spacing w:before="240" w:after="240" w:line="240" w:lineRule="auto"/>
        <w:ind w:hanging="357"/>
        <w:jc w:val="both"/>
        <w:rPr>
          <w:rFonts w:asciiTheme="minorHAnsi" w:hAnsiTheme="minorHAnsi" w:cstheme="minorHAnsi"/>
          <w:lang w:val="sr-Cyrl-RS"/>
        </w:rPr>
      </w:pPr>
      <w:r w:rsidRPr="00323C18">
        <w:rPr>
          <w:rFonts w:asciiTheme="minorHAnsi" w:hAnsiTheme="minorHAnsi" w:cstheme="minorHAnsi"/>
          <w:lang w:val="sr-Cyrl-RS"/>
        </w:rPr>
        <w:t>припремање планова рада, прављење извештаје и информације из области железничког саобраћаја каои ии из области железничког система и његових подсистема;</w:t>
      </w:r>
    </w:p>
    <w:p w:rsidR="00781A4B" w:rsidRPr="00323C18" w:rsidRDefault="00781A4B" w:rsidP="00781A4B">
      <w:pPr>
        <w:pStyle w:val="ListParagraph"/>
        <w:numPr>
          <w:ilvl w:val="0"/>
          <w:numId w:val="13"/>
        </w:numPr>
        <w:spacing w:before="240" w:after="240" w:line="240" w:lineRule="auto"/>
        <w:ind w:left="709" w:hanging="357"/>
        <w:jc w:val="both"/>
        <w:rPr>
          <w:rFonts w:asciiTheme="minorHAnsi" w:hAnsiTheme="minorHAnsi" w:cs="Calibri"/>
          <w:b/>
          <w:lang w:val="ru-RU"/>
        </w:rPr>
      </w:pPr>
      <w:r w:rsidRPr="00323C18">
        <w:rPr>
          <w:rFonts w:asciiTheme="minorHAnsi" w:hAnsiTheme="minorHAnsi" w:cstheme="minorHAnsi"/>
          <w:lang w:val="sr-Cyrl-RS"/>
        </w:rPr>
        <w:t>остваривање сарадње са републичким, покрајинским органима, органима јединица локалне самоуправе, предузећима, институцијама и субјектима из делокруга рада, сарадња са научним и стручним институцијама.</w:t>
      </w:r>
    </w:p>
    <w:p w:rsidR="00781A4B" w:rsidRPr="00A0458A" w:rsidRDefault="00781A4B" w:rsidP="00781A4B">
      <w:pPr>
        <w:pStyle w:val="ListParagraph"/>
        <w:spacing w:before="120" w:after="120"/>
        <w:ind w:left="709"/>
        <w:jc w:val="both"/>
        <w:rPr>
          <w:rFonts w:asciiTheme="minorHAnsi" w:hAnsiTheme="minorHAnsi" w:cs="Calibri"/>
          <w:b/>
          <w:szCs w:val="28"/>
          <w:lang w:val="ru-RU"/>
        </w:rPr>
      </w:pP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/>
        <w:ind w:left="1134" w:hanging="274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УЧЕСТАЛОСТ И ОБУХВАТ ВРШЕЊА ИНСПЕКЦИЈСКОГ НАДЗОРА ПО ОБЛАСТИМА И СВАКОМ ОД СТЕПЕНА РИЗИКА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56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Субјекти надзора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lastRenderedPageBreak/>
        <w:t xml:space="preserve">Субјекти над којима се спроводи инспекцијски надзор су: </w:t>
      </w:r>
    </w:p>
    <w:p w:rsidR="00781A4B" w:rsidRPr="00A0458A" w:rsidRDefault="00781A4B" w:rsidP="00781A4B">
      <w:pPr>
        <w:pStyle w:val="ListParagraph"/>
        <w:numPr>
          <w:ilvl w:val="0"/>
          <w:numId w:val="4"/>
        </w:numPr>
        <w:spacing w:after="0" w:line="240" w:lineRule="auto"/>
        <w:ind w:left="113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Управљач јавне железничке инфраструктуре: „Инфраструктура железнице Србије“а.д. Београд,</w:t>
      </w:r>
    </w:p>
    <w:p w:rsidR="00781A4B" w:rsidRPr="00A0458A" w:rsidRDefault="00781A4B" w:rsidP="00781A4B">
      <w:pPr>
        <w:pStyle w:val="ListParagraph"/>
        <w:numPr>
          <w:ilvl w:val="0"/>
          <w:numId w:val="4"/>
        </w:numPr>
        <w:spacing w:after="0" w:line="240" w:lineRule="auto"/>
        <w:ind w:left="113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Превозници у теретном саобраћају: 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„Србија Карго“ а.д. Београд,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SI - Cargo Logistics d.o.o. Бeoгрaд,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„STANDARD LOGISTIC“ d.o.o.,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 „KOMBINOVANI PREVOZ“ DOO Beograd,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A.Б. Прeвoз д.o.o. Бeoгрaд,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„TRANSА</w:t>
      </w:r>
      <w:r w:rsidRPr="00A0458A">
        <w:rPr>
          <w:rFonts w:asciiTheme="minorHAnsi" w:hAnsiTheme="minorHAnsi"/>
          <w:lang w:val="en-US"/>
        </w:rPr>
        <w:t>GENT OPERATOR</w:t>
      </w:r>
      <w:r w:rsidRPr="00A0458A">
        <w:rPr>
          <w:rFonts w:asciiTheme="minorHAnsi" w:hAnsiTheme="minorHAnsi"/>
          <w:lang w:val="sr-Cyrl-RS"/>
        </w:rPr>
        <w:t>“ д.о.о. Београд</w:t>
      </w:r>
      <w:r w:rsidRPr="00A0458A">
        <w:rPr>
          <w:rFonts w:asciiTheme="minorHAnsi" w:hAnsiTheme="minorHAnsi"/>
          <w:lang w:val="sr-Cyrl-CS"/>
        </w:rPr>
        <w:t>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„Rail Transport Logistic“ d.o.o. Нoви Бeoгрa,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EURORAIL LOGISTIC d.o.o. Смeдeрeвo,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ДEСПOTИJA  дoo Бeoгрaд,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Pannon Rail Doo Суботица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„NCL NEO CARGO LOGISTIC DOO” Бeoгрaд,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 „OBL LOGISTIC DOO BEOGRAD - Нoви Бeoгрaд,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„Локотранс“ д.о.о. Суботица,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„Трансагент оператор“ д.о.о Београд,</w:t>
      </w:r>
    </w:p>
    <w:p w:rsidR="00781A4B" w:rsidRPr="00A0458A" w:rsidRDefault="00781A4B" w:rsidP="00781A4B">
      <w:pPr>
        <w:pStyle w:val="ListParagraph"/>
        <w:numPr>
          <w:ilvl w:val="1"/>
          <w:numId w:val="6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,,Global Neologistics d.о.о. Beograd-Stari grad“.</w:t>
      </w:r>
    </w:p>
    <w:p w:rsidR="00781A4B" w:rsidRPr="00A0458A" w:rsidRDefault="00781A4B" w:rsidP="00781A4B">
      <w:pPr>
        <w:pStyle w:val="ListParagraph"/>
        <w:numPr>
          <w:ilvl w:val="0"/>
          <w:numId w:val="4"/>
        </w:numPr>
        <w:spacing w:after="0" w:line="240" w:lineRule="auto"/>
        <w:ind w:left="113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</w:rPr>
        <w:t>Превозници за сопствене потребе</w:t>
      </w:r>
      <w:r w:rsidRPr="00A0458A">
        <w:rPr>
          <w:rFonts w:asciiTheme="minorHAnsi" w:hAnsiTheme="minorHAnsi"/>
          <w:lang w:val="sr-Cyrl-RS"/>
        </w:rPr>
        <w:t>: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Приврeднo друштвo зa грaђeњe, рeмoнт и oдржaвaњe пругa ЗГOП a.д. Нoви Сaд,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ДOO ЗA ПРOИЗВOДНJУ, ПРOMET И УСЛУГE ELIXIR GROUP  ШAБAЦ,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„НИС А.Д. НОВИ САД”,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Електропривреда србије ЈП Београд-огранак ТЕНТ,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„АТМ БГ“ д.о.о. Београд,</w:t>
      </w:r>
    </w:p>
    <w:p w:rsidR="00781A4B" w:rsidRPr="00A0458A" w:rsidRDefault="00781A4B" w:rsidP="00781A4B">
      <w:pPr>
        <w:pStyle w:val="ListParagraph"/>
        <w:numPr>
          <w:ilvl w:val="0"/>
          <w:numId w:val="4"/>
        </w:numPr>
        <w:spacing w:after="0" w:line="240" w:lineRule="auto"/>
        <w:ind w:left="113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Превозник у путничком саобраћају: „Србија Воз“ а.д. </w:t>
      </w:r>
    </w:p>
    <w:p w:rsidR="00781A4B" w:rsidRPr="00A0458A" w:rsidRDefault="00781A4B" w:rsidP="00781A4B">
      <w:pPr>
        <w:pStyle w:val="ListParagraph"/>
        <w:numPr>
          <w:ilvl w:val="0"/>
          <w:numId w:val="4"/>
        </w:numPr>
        <w:spacing w:after="0" w:line="240" w:lineRule="auto"/>
        <w:ind w:left="1134" w:hanging="35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Власници индустријских колосека на територији АП Војводине: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ind w:left="15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са континуалном употребом колосека: 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Метанолско-сирћетни комплекс-Кикинда, 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Фабрика Синтетичког Каучука-Елемир, 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НИС ад Рафинерија гаса-Елемир, 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ХИП-Петрохемија Панчево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ХИП-Петрохемија Фабрика синтетичког каучука Елемир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НИС ад Рафинерија нафте-Панчево, 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Еуро гас Суботица,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Стандард гас из Оџака,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ХИПОЛ из Оџака,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фабрике шећера: СУНОКО Ковачица и Врбаса, Црвенка и Жабаљ ХЕЛЕНИК Шугер и Фабрика шећера ТЕ-ТО Сента,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Татравагонка Братство д.о.о. Суботица,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ind w:left="2127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луке: „Нови Сад“, „Специјална лука“-Панчево, лука „Дунав“ Панчево и лука „Легет“ Сремска Митровица,</w:t>
      </w:r>
    </w:p>
    <w:p w:rsidR="00781A4B" w:rsidRPr="00A0458A" w:rsidRDefault="00781A4B" w:rsidP="00781A4B">
      <w:pPr>
        <w:pStyle w:val="ListParagraph"/>
        <w:numPr>
          <w:ilvl w:val="2"/>
          <w:numId w:val="8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(наведени су индустр.колосеци са највећим радом).</w:t>
      </w:r>
    </w:p>
    <w:p w:rsidR="00781A4B" w:rsidRPr="00A0458A" w:rsidRDefault="00781A4B" w:rsidP="00781A4B">
      <w:pPr>
        <w:pStyle w:val="ListParagraph"/>
        <w:numPr>
          <w:ilvl w:val="1"/>
          <w:numId w:val="4"/>
        </w:numPr>
        <w:spacing w:after="0" w:line="240" w:lineRule="auto"/>
        <w:ind w:left="15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Са повременом употребом колосека:</w:t>
      </w:r>
    </w:p>
    <w:p w:rsidR="00781A4B" w:rsidRPr="00A0458A" w:rsidRDefault="00781A4B" w:rsidP="00781A4B">
      <w:pPr>
        <w:pStyle w:val="ListParagraph"/>
        <w:numPr>
          <w:ilvl w:val="2"/>
          <w:numId w:val="7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u w:val="single"/>
          <w:lang w:val="sr-Cyrl-CS"/>
        </w:rPr>
        <w:t>Уљаре</w:t>
      </w:r>
      <w:r w:rsidRPr="00A0458A">
        <w:rPr>
          <w:rFonts w:asciiTheme="minorHAnsi" w:hAnsiTheme="minorHAnsi"/>
          <w:lang w:val="sr-Cyrl-CS"/>
        </w:rPr>
        <w:t>: фабрика уља и биљних масти „Витал“-Врбас, „Дијамант“ – Зрењанин, „Викторија оил“-Шид,</w:t>
      </w:r>
    </w:p>
    <w:p w:rsidR="00781A4B" w:rsidRPr="00A0458A" w:rsidRDefault="00781A4B" w:rsidP="00781A4B">
      <w:pPr>
        <w:pStyle w:val="ListParagraph"/>
        <w:numPr>
          <w:ilvl w:val="2"/>
          <w:numId w:val="7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u w:val="single"/>
          <w:lang w:val="sr-Cyrl-CS"/>
        </w:rPr>
        <w:t>Силоси:</w:t>
      </w:r>
      <w:r w:rsidRPr="00A0458A">
        <w:rPr>
          <w:rFonts w:asciiTheme="minorHAnsi" w:hAnsiTheme="minorHAnsi"/>
          <w:lang w:val="sr-Cyrl-CS"/>
        </w:rPr>
        <w:t xml:space="preserve"> Жедник, Пригревица, Сивац, „Угљеша Терзин“-Кикинда, „Житопродукт“-Зрењанин, „Гранекспорт“-Панчево, „Агроглобе“-Рума, у Сремској Митровици, у Шиду, у Инђији, у Владимировцу, …</w:t>
      </w:r>
    </w:p>
    <w:p w:rsidR="00781A4B" w:rsidRPr="00A0458A" w:rsidRDefault="00781A4B" w:rsidP="00781A4B">
      <w:pPr>
        <w:pStyle w:val="ListParagraph"/>
        <w:numPr>
          <w:ilvl w:val="2"/>
          <w:numId w:val="7"/>
        </w:numPr>
        <w:spacing w:after="0" w:line="240" w:lineRule="auto"/>
        <w:ind w:left="2127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u w:val="single"/>
          <w:lang w:val="sr-Cyrl-CS"/>
        </w:rPr>
        <w:t>Остали индустријски колосеци у</w:t>
      </w:r>
      <w:r w:rsidRPr="00A0458A">
        <w:rPr>
          <w:rFonts w:asciiTheme="minorHAnsi" w:hAnsiTheme="minorHAnsi"/>
          <w:lang w:val="sr-Cyrl-CS"/>
        </w:rPr>
        <w:t xml:space="preserve">: дрвној индустрији, индустрији боја, фарби и заштитних средстава, осталој прехрамбеној индустрији и индустрији сточне хране, градске топлане (Зрењанин и Сремска Митровица), ливница </w:t>
      </w:r>
      <w:r w:rsidRPr="00A0458A">
        <w:rPr>
          <w:rFonts w:asciiTheme="minorHAnsi" w:hAnsiTheme="minorHAnsi"/>
          <w:lang w:val="sr-Cyrl-CS"/>
        </w:rPr>
        <w:lastRenderedPageBreak/>
        <w:t xml:space="preserve">Кикинда, велетрговине, индустрији кућне хемије, … до укупно 107 осталих индустријских колосека, у великом броју са неизвесним статусом. </w:t>
      </w:r>
    </w:p>
    <w:p w:rsidR="00781A4B" w:rsidRPr="00A0458A" w:rsidRDefault="00781A4B" w:rsidP="00781A4B">
      <w:pPr>
        <w:pStyle w:val="ListParagraph"/>
        <w:spacing w:after="0" w:line="240" w:lineRule="auto"/>
        <w:ind w:left="1985"/>
        <w:contextualSpacing w:val="0"/>
        <w:jc w:val="both"/>
        <w:rPr>
          <w:rFonts w:asciiTheme="minorHAnsi" w:hAnsiTheme="minorHAnsi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56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Објекти за надзор на терену</w:t>
      </w:r>
    </w:p>
    <w:p w:rsidR="00781A4B" w:rsidRPr="00A0458A" w:rsidRDefault="00781A4B" w:rsidP="00781A4B">
      <w:pPr>
        <w:pStyle w:val="ListParagraph"/>
        <w:numPr>
          <w:ilvl w:val="2"/>
          <w:numId w:val="1"/>
        </w:numPr>
        <w:spacing w:before="120" w:after="120" w:line="240" w:lineRule="auto"/>
        <w:ind w:left="2268"/>
        <w:contextualSpacing w:val="0"/>
        <w:rPr>
          <w:rFonts w:asciiTheme="minorHAnsi" w:hAnsiTheme="minorHAnsi" w:cs="Calibri"/>
          <w:szCs w:val="28"/>
          <w:lang w:val="ru-RU"/>
        </w:rPr>
      </w:pPr>
      <w:r w:rsidRPr="00A0458A">
        <w:rPr>
          <w:rFonts w:asciiTheme="minorHAnsi" w:hAnsiTheme="minorHAnsi" w:cs="Calibri"/>
          <w:szCs w:val="28"/>
          <w:lang w:val="ru-RU"/>
        </w:rPr>
        <w:t>Грађевински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RS"/>
        </w:rPr>
      </w:pPr>
      <w:r w:rsidRPr="00A0458A">
        <w:rPr>
          <w:rFonts w:asciiTheme="minorHAnsi" w:hAnsiTheme="minorHAnsi"/>
          <w:lang w:val="sr-Cyrl-CS"/>
        </w:rPr>
        <w:t>Железнички саобраћај на територији АП Војводине обавља се на 1.461,3 километара дугој железничкој инфраструктури, што чини око 42% од укупне мреже Инфраструктуре железнице Србије а.д.</w:t>
      </w:r>
      <w:r w:rsidRPr="00A0458A">
        <w:rPr>
          <w:rFonts w:asciiTheme="minorHAnsi" w:hAnsiTheme="minorHAnsi"/>
          <w:lang w:val="sr-Cyrl-RS"/>
        </w:rPr>
        <w:t>.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На територији АП Војводине има 104 службена места од којих је више од пола непоседнуто због недостатка железничких радника код управљача јавне железничке инфраструктуре.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RS"/>
        </w:rPr>
      </w:pPr>
      <w:r w:rsidRPr="00A0458A">
        <w:rPr>
          <w:rFonts w:asciiTheme="minorHAnsi" w:hAnsiTheme="minorHAnsi"/>
          <w:lang w:val="sr-Cyrl-CS"/>
        </w:rPr>
        <w:t xml:space="preserve">На железничкој мрежи на територији АП Војводине постоји, по званичним подацима ИЖС, укупно 982 путна прелаза. </w:t>
      </w:r>
      <w:r w:rsidRPr="00A0458A">
        <w:rPr>
          <w:rFonts w:asciiTheme="minorHAnsi" w:hAnsiTheme="minorHAnsi"/>
          <w:sz w:val="24"/>
          <w:lang w:val="sr-Cyrl-RS"/>
        </w:rPr>
        <w:t xml:space="preserve">Ако изузмемо ПП на пругама које нису у саобраћају и које су тренутно у реконструкцији имамо укупно 561 ПП који је предмет надзора ове поверене инспекције за железнички саобраћај. На већини путних прелаза на пругама које немају железнички саобраћај није примењен </w:t>
      </w:r>
      <w:r w:rsidRPr="00A0458A">
        <w:rPr>
          <w:rFonts w:asciiTheme="minorHAnsi" w:hAnsiTheme="minorHAnsi"/>
          <w:sz w:val="24"/>
        </w:rPr>
        <w:t xml:space="preserve">члан 63., став 2. Закона о железници, </w:t>
      </w:r>
      <w:r w:rsidRPr="00A0458A">
        <w:rPr>
          <w:rFonts w:asciiTheme="minorHAnsi" w:hAnsiTheme="minorHAnsi"/>
          <w:sz w:val="24"/>
          <w:lang w:val="sr-Cyrl-RS"/>
        </w:rPr>
        <w:t xml:space="preserve">односно нису доставили </w:t>
      </w:r>
      <w:r w:rsidRPr="00A0458A">
        <w:rPr>
          <w:rFonts w:asciiTheme="minorHAnsi" w:hAnsiTheme="minorHAnsi"/>
          <w:sz w:val="24"/>
        </w:rPr>
        <w:t xml:space="preserve">управљачу пута захтев за уклањање саобраћајних знакова на путу којим се упозоравају учесници у друмском саобраћају на путни прелаз, а железничке елементе путног прелаза и уређаје за затварање саобраћаја на путном прелазу </w:t>
      </w:r>
      <w:r w:rsidRPr="00A0458A">
        <w:rPr>
          <w:rFonts w:asciiTheme="minorHAnsi" w:hAnsiTheme="minorHAnsi"/>
          <w:sz w:val="24"/>
          <w:lang w:val="sr-Cyrl-RS"/>
        </w:rPr>
        <w:t xml:space="preserve">нису </w:t>
      </w:r>
      <w:r w:rsidRPr="00A0458A">
        <w:rPr>
          <w:rFonts w:asciiTheme="minorHAnsi" w:hAnsiTheme="minorHAnsi"/>
          <w:sz w:val="24"/>
        </w:rPr>
        <w:t>привремено уклон</w:t>
      </w:r>
      <w:r w:rsidRPr="00A0458A">
        <w:rPr>
          <w:rFonts w:asciiTheme="minorHAnsi" w:hAnsiTheme="minorHAnsi"/>
          <w:sz w:val="24"/>
          <w:lang w:val="sr-Cyrl-RS"/>
        </w:rPr>
        <w:t>ли</w:t>
      </w:r>
      <w:r w:rsidRPr="00A0458A">
        <w:rPr>
          <w:rFonts w:asciiTheme="minorHAnsi" w:hAnsiTheme="minorHAnsi"/>
          <w:sz w:val="24"/>
        </w:rPr>
        <w:t>, док траје време обуставе превоза.</w:t>
      </w:r>
      <w:r w:rsidRPr="00A0458A">
        <w:rPr>
          <w:rFonts w:asciiTheme="minorHAnsi" w:hAnsiTheme="minorHAnsi"/>
          <w:sz w:val="24"/>
          <w:lang w:val="sr-Cyrl-RS"/>
        </w:rPr>
        <w:t xml:space="preserve">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Наведене капацитете јавне железничке инфраструктуре одржавају две Секције за одржавање пруга (ЗОП): Нови Сад и Београд.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Увидом у железничку тарифу, можемо да кажемо да се на териториј АП Војводине налази 138 власника индустријских колосека. Међутим многи од тих власника су, у периоду реструктурирања привредног система земље, нестали или су своје колосеке уништили. Сада на територији АП Војводине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Theme="minorHAnsi" w:hAnsiTheme="minorHAnsi"/>
          <w:lang w:val="sr-Cyrl-RS"/>
        </w:rPr>
      </w:pPr>
      <w:r w:rsidRPr="00A0458A">
        <w:rPr>
          <w:rFonts w:asciiTheme="minorHAnsi" w:hAnsiTheme="minorHAnsi"/>
          <w:lang w:val="sr-Cyrl-CS"/>
        </w:rPr>
        <w:t xml:space="preserve">има око 80 власника индустријских колосека, али још мањи број њих је остварио робни рад путем индустријских колосека. </w:t>
      </w:r>
    </w:p>
    <w:p w:rsidR="00781A4B" w:rsidRPr="00A0458A" w:rsidRDefault="00781A4B" w:rsidP="00781A4B">
      <w:pPr>
        <w:pStyle w:val="ListParagraph"/>
        <w:numPr>
          <w:ilvl w:val="2"/>
          <w:numId w:val="1"/>
        </w:numPr>
        <w:spacing w:before="120" w:after="120" w:line="240" w:lineRule="auto"/>
        <w:ind w:left="2268"/>
        <w:contextualSpacing w:val="0"/>
        <w:rPr>
          <w:rFonts w:asciiTheme="minorHAnsi" w:hAnsiTheme="minorHAnsi" w:cs="Calibri"/>
          <w:szCs w:val="28"/>
          <w:lang w:val="ru-RU"/>
        </w:rPr>
      </w:pPr>
      <w:r w:rsidRPr="00A0458A">
        <w:rPr>
          <w:rFonts w:asciiTheme="minorHAnsi" w:hAnsiTheme="minorHAnsi" w:cs="Calibri"/>
          <w:szCs w:val="28"/>
          <w:lang w:val="ru-RU"/>
        </w:rPr>
        <w:t xml:space="preserve">Саобраћајни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Железнички саобраћај на територији АП Војводине ће се обавља по унапред утврђеном реду вожње који ће се донети у ноћи 12/13.12.2020 за текућу и наредну годину. Надлежни инспектори железничког саобраћаја нису иали увид у радне материјале Реда вожње 2020/2021. Узимајући у обзир усмена сазнања од надлежнеих из Секција за саобраћајне послове Нови Сад која покрива територију АП Војводине, констатујемо да је за ред вожње 2020/2021: 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због извођења радова на делу пруге од Старе Пазове до Новог Сада потпуно обустављен саобраћај од Новог Сада до Београда и обрнуто.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због палнираног извођења радова од Новог Сада до Суботице биће потпуно обустављен саобраћај возова од Новог Сада до Суботице и обрнуто.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довољан број нових моторних и електромоторних возова омогућава одрживост пројектованог реда вожње;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смањен број железничких радника због реструктурирања железничког сектора онемогућава уредно одвијање железничког саобраћаја и пропусну моћ пруга према службеним капацитетима. Посебно је изражено код путних прелаза који морају да буду поседнути железничким радницима.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ремонтовано је око 40 км локалне пруге од Римских Шанчева до Орловата и овај правац се користи као алтернативни правац потпуне обуставе саобраћаја између Старе Пазове и Новог Сада.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 У току је завршетак ремонта пуруге Сента –Банатско Милошево-Суботица у дужини од 38,5 км и Кумане – Банатско Милошево у дужини од 28,5 км.</w:t>
      </w:r>
    </w:p>
    <w:p w:rsidR="00781A4B" w:rsidRPr="00A0458A" w:rsidRDefault="00781A4B" w:rsidP="00781A4B">
      <w:pPr>
        <w:pStyle w:val="ListParagraph"/>
        <w:numPr>
          <w:ilvl w:val="0"/>
          <w:numId w:val="2"/>
        </w:numPr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У току је завршетак ремонта станичних колосека на прузи Нови Сад-Оџаци-Богојево.</w:t>
      </w:r>
    </w:p>
    <w:p w:rsidR="00781A4B" w:rsidRPr="00A0458A" w:rsidRDefault="00781A4B" w:rsidP="00781A4B">
      <w:pPr>
        <w:pStyle w:val="ListParagraph"/>
        <w:spacing w:after="120" w:line="240" w:lineRule="auto"/>
        <w:ind w:left="709" w:right="-48"/>
        <w:jc w:val="both"/>
        <w:rPr>
          <w:rFonts w:asciiTheme="minorHAnsi" w:hAnsiTheme="minorHAnsi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56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lastRenderedPageBreak/>
        <w:t>Територијално подручје вршења надзора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bCs/>
          <w:lang w:val="sr-Cyrl-CS"/>
        </w:rPr>
      </w:pPr>
      <w:r w:rsidRPr="00A0458A">
        <w:rPr>
          <w:rFonts w:asciiTheme="minorHAnsi" w:hAnsiTheme="minorHAnsi"/>
          <w:bCs/>
          <w:lang w:val="sr-Cyrl-CS"/>
        </w:rPr>
        <w:t xml:space="preserve">Инспекцијски надзор се врши на територији АП Војводине као поверен посао на основу: </w:t>
      </w:r>
    </w:p>
    <w:p w:rsidR="00781A4B" w:rsidRPr="00A0458A" w:rsidRDefault="00781A4B" w:rsidP="00781A4B">
      <w:pPr>
        <w:pStyle w:val="ListParagraph"/>
        <w:numPr>
          <w:ilvl w:val="0"/>
          <w:numId w:val="9"/>
        </w:numPr>
        <w:spacing w:before="120" w:after="120" w:line="240" w:lineRule="auto"/>
        <w:ind w:left="1134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bCs/>
          <w:lang w:val="sr-Cyrl-CS"/>
        </w:rPr>
        <w:t>члана 31. Закона о утврђивању надлежности Аутономне Покрајине Војводине</w:t>
      </w:r>
      <w:r w:rsidRPr="00A0458A">
        <w:rPr>
          <w:rFonts w:asciiTheme="minorHAnsi" w:hAnsiTheme="minorHAnsi"/>
          <w:lang w:val="sr-Cyrl-RS"/>
        </w:rPr>
        <w:t xml:space="preserve"> („Сл. гласник РС“, бр. 99/09 </w:t>
      </w:r>
      <w:r w:rsidRPr="00A0458A">
        <w:rPr>
          <w:rFonts w:asciiTheme="minorHAnsi" w:hAnsiTheme="minorHAnsi"/>
          <w:bCs/>
          <w:lang w:val="sr-Cyrl-RS"/>
        </w:rPr>
        <w:t>и 67/12 – одлука УС),</w:t>
      </w:r>
    </w:p>
    <w:p w:rsidR="00781A4B" w:rsidRPr="00A0458A" w:rsidRDefault="00781A4B" w:rsidP="00781A4B">
      <w:pPr>
        <w:pStyle w:val="ListParagraph"/>
        <w:numPr>
          <w:ilvl w:val="0"/>
          <w:numId w:val="9"/>
        </w:numPr>
        <w:spacing w:before="120" w:after="120" w:line="240" w:lineRule="auto"/>
        <w:ind w:left="1134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bCs/>
          <w:lang w:val="sr-Cyrl-CS"/>
        </w:rPr>
        <w:t xml:space="preserve">члана 130. Закона о железници ("Службени гласник РС", бр. 41/2018), </w:t>
      </w:r>
    </w:p>
    <w:p w:rsidR="00781A4B" w:rsidRPr="00A0458A" w:rsidRDefault="00781A4B" w:rsidP="00781A4B">
      <w:pPr>
        <w:pStyle w:val="ListParagraph"/>
        <w:numPr>
          <w:ilvl w:val="0"/>
          <w:numId w:val="9"/>
        </w:numPr>
        <w:spacing w:before="120" w:after="120" w:line="240" w:lineRule="auto"/>
        <w:ind w:left="1134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bCs/>
          <w:lang w:val="sr-Cyrl-CS"/>
        </w:rPr>
        <w:t>члана 115. Закона о безбедности у железничком саобраћају ("Службени  гласник РС", бр. 41/2018) и</w:t>
      </w:r>
    </w:p>
    <w:p w:rsidR="00781A4B" w:rsidRPr="00A0458A" w:rsidRDefault="00781A4B" w:rsidP="00781A4B">
      <w:pPr>
        <w:pStyle w:val="ListParagraph"/>
        <w:numPr>
          <w:ilvl w:val="0"/>
          <w:numId w:val="9"/>
        </w:numPr>
        <w:spacing w:before="120" w:after="120" w:line="240" w:lineRule="auto"/>
        <w:ind w:left="1134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bCs/>
          <w:lang w:val="sr-Cyrl-CS"/>
        </w:rPr>
        <w:t>члана 35. Закона о интероперабилности железничког система ("Службени  гласник РС", бр. 41/2018).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1134"/>
        <w:contextualSpacing w:val="0"/>
        <w:jc w:val="both"/>
        <w:rPr>
          <w:rFonts w:asciiTheme="minorHAnsi" w:hAnsiTheme="minorHAnsi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56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 xml:space="preserve">Процењени ризик за надзиране субјекте, односно делатности или активности које ће се надзирати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Процењени ризици код надзираних субјеката су утврђени на основу праћења стања у пословању и поступању надзираних субјеката кроз обраду:</w:t>
      </w:r>
    </w:p>
    <w:p w:rsidR="00781A4B" w:rsidRPr="00A0458A" w:rsidRDefault="00781A4B" w:rsidP="00781A4B">
      <w:pPr>
        <w:numPr>
          <w:ilvl w:val="0"/>
          <w:numId w:val="14"/>
        </w:numPr>
        <w:spacing w:before="120"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дневних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оперативних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извештаја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који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пристижу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електронском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поштом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из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чворова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: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Суботица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НовиСад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,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Румаи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Зрењанин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>;</w:t>
      </w:r>
    </w:p>
    <w:p w:rsidR="00781A4B" w:rsidRPr="00A0458A" w:rsidRDefault="00781A4B" w:rsidP="00781A4B">
      <w:pPr>
        <w:numPr>
          <w:ilvl w:val="0"/>
          <w:numId w:val="14"/>
        </w:numPr>
        <w:spacing w:before="120"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седмичних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извештаја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о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противправним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радњама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  <w:lang w:val="sr-Cyrl-RS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на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територији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АП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Војводине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>;</w:t>
      </w:r>
    </w:p>
    <w:p w:rsidR="00781A4B" w:rsidRPr="00A0458A" w:rsidRDefault="00781A4B" w:rsidP="00781A4B">
      <w:pPr>
        <w:numPr>
          <w:ilvl w:val="0"/>
          <w:numId w:val="14"/>
        </w:numPr>
        <w:spacing w:before="120" w:after="120"/>
        <w:ind w:left="714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месечних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извештаја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о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безбедности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железничког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саобраћаја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у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железничким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A0458A">
        <w:rPr>
          <w:rFonts w:asciiTheme="minorHAnsi" w:hAnsiTheme="minorHAnsi" w:cstheme="minorHAnsi"/>
          <w:bCs/>
          <w:sz w:val="22"/>
          <w:szCs w:val="22"/>
        </w:rPr>
        <w:t>чворовима</w:t>
      </w:r>
      <w:proofErr w:type="spellEnd"/>
      <w:r w:rsidRPr="00A0458A">
        <w:rPr>
          <w:rFonts w:asciiTheme="minorHAnsi" w:hAnsiTheme="minorHAnsi" w:cstheme="minorHAnsi"/>
          <w:bCs/>
          <w:sz w:val="22"/>
          <w:szCs w:val="22"/>
        </w:rPr>
        <w:t>;</w:t>
      </w:r>
    </w:p>
    <w:p w:rsidR="00781A4B" w:rsidRPr="00A0458A" w:rsidRDefault="00781A4B" w:rsidP="00781A4B">
      <w:pPr>
        <w:pStyle w:val="ListParagraph"/>
        <w:numPr>
          <w:ilvl w:val="0"/>
          <w:numId w:val="14"/>
        </w:numPr>
        <w:spacing w:before="120" w:after="120" w:line="24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A0458A">
        <w:rPr>
          <w:rFonts w:asciiTheme="minorHAnsi" w:hAnsiTheme="minorHAnsi" w:cstheme="minorHAnsi"/>
          <w:bCs/>
        </w:rPr>
        <w:t>телеграма о уведеним лаганим вожњама и ограниченим брзинама које је увео управљач јавне железничке инфраструктуре</w:t>
      </w:r>
      <w:r w:rsidRPr="00A0458A">
        <w:rPr>
          <w:rFonts w:asciiTheme="minorHAnsi" w:hAnsiTheme="minorHAnsi" w:cstheme="minorHAnsi"/>
          <w:bCs/>
          <w:lang w:val="sr-Cyrl-RS"/>
        </w:rPr>
        <w:t xml:space="preserve"> као и о несрећама и незгодама код управљача и превозника;</w:t>
      </w:r>
    </w:p>
    <w:p w:rsidR="00781A4B" w:rsidRPr="00A0458A" w:rsidRDefault="00781A4B" w:rsidP="00781A4B">
      <w:pPr>
        <w:pStyle w:val="ListParagraph"/>
        <w:numPr>
          <w:ilvl w:val="0"/>
          <w:numId w:val="14"/>
        </w:numPr>
        <w:spacing w:before="120" w:after="120"/>
        <w:ind w:left="714" w:hanging="357"/>
        <w:jc w:val="both"/>
        <w:rPr>
          <w:rFonts w:asciiTheme="minorHAnsi" w:hAnsiTheme="minorHAnsi" w:cstheme="minorHAnsi"/>
          <w:bCs/>
        </w:rPr>
      </w:pPr>
      <w:r w:rsidRPr="00A0458A">
        <w:rPr>
          <w:rFonts w:asciiTheme="minorHAnsi" w:hAnsiTheme="minorHAnsi" w:cstheme="minorHAnsi"/>
          <w:bCs/>
        </w:rPr>
        <w:t>седмичн</w:t>
      </w:r>
      <w:r w:rsidRPr="00A0458A">
        <w:rPr>
          <w:rFonts w:asciiTheme="minorHAnsi" w:hAnsiTheme="minorHAnsi" w:cstheme="minorHAnsi"/>
          <w:bCs/>
          <w:lang w:val="sr-Cyrl-RS"/>
        </w:rPr>
        <w:t>их</w:t>
      </w:r>
      <w:r w:rsidRPr="00A0458A">
        <w:rPr>
          <w:rFonts w:asciiTheme="minorHAnsi" w:hAnsiTheme="minorHAnsi" w:cstheme="minorHAnsi"/>
          <w:bCs/>
        </w:rPr>
        <w:t xml:space="preserve"> извештаја о сметњама на сигнално-сигурносним и телекомуникационим системима на јавној железничкој инфраструктури;</w:t>
      </w:r>
    </w:p>
    <w:p w:rsidR="00781A4B" w:rsidRPr="00A0458A" w:rsidRDefault="00781A4B" w:rsidP="00781A4B">
      <w:pPr>
        <w:pStyle w:val="ListParagraph"/>
        <w:numPr>
          <w:ilvl w:val="0"/>
          <w:numId w:val="14"/>
        </w:numPr>
        <w:spacing w:before="120" w:after="120" w:line="24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A0458A">
        <w:rPr>
          <w:rFonts w:asciiTheme="minorHAnsi" w:hAnsiTheme="minorHAnsi" w:cstheme="minorHAnsi"/>
          <w:bCs/>
        </w:rPr>
        <w:t>месечних извештаја са индустријских колосека</w:t>
      </w:r>
      <w:r w:rsidRPr="00A0458A">
        <w:rPr>
          <w:rFonts w:asciiTheme="minorHAnsi" w:hAnsiTheme="minorHAnsi" w:cstheme="minorHAnsi"/>
          <w:bCs/>
          <w:lang w:val="sr-Cyrl-RS"/>
        </w:rPr>
        <w:t>;</w:t>
      </w:r>
    </w:p>
    <w:p w:rsidR="00781A4B" w:rsidRPr="00A0458A" w:rsidRDefault="00781A4B" w:rsidP="00781A4B">
      <w:pPr>
        <w:pStyle w:val="ListParagraph"/>
        <w:numPr>
          <w:ilvl w:val="0"/>
          <w:numId w:val="14"/>
        </w:numPr>
        <w:spacing w:before="120" w:after="120" w:line="24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A0458A">
        <w:rPr>
          <w:rFonts w:asciiTheme="minorHAnsi" w:hAnsiTheme="minorHAnsi" w:cstheme="minorHAnsi"/>
          <w:bCs/>
          <w:lang w:val="sr-Cyrl-RS"/>
        </w:rPr>
        <w:t>извештаја о унутарњем надзору код управљача и превозника.</w:t>
      </w:r>
    </w:p>
    <w:p w:rsidR="00781A4B" w:rsidRPr="00A0458A" w:rsidRDefault="00781A4B" w:rsidP="00781A4B">
      <w:pPr>
        <w:pStyle w:val="ListParagraph"/>
        <w:spacing w:after="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На основу праћења стања и искуственом методом је процењен ризик у пословању и поступању надзираних субјеката од незнатног до критичног. Учесталост инспекцијског надзора у односу на ризике биће:</w:t>
      </w:r>
    </w:p>
    <w:tbl>
      <w:tblPr>
        <w:tblW w:w="85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81"/>
        <w:gridCol w:w="4282"/>
      </w:tblGrid>
      <w:tr w:rsidR="00781A4B" w:rsidRPr="00A0458A" w:rsidTr="00AE03E0">
        <w:trPr>
          <w:trHeight w:val="622"/>
          <w:jc w:val="center"/>
        </w:trPr>
        <w:tc>
          <w:tcPr>
            <w:tcW w:w="2854" w:type="dxa"/>
            <w:shd w:val="clear" w:color="auto" w:fill="C5E0B3" w:themeFill="accent6" w:themeFillTint="66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proofErr w:type="spellStart"/>
            <w:r w:rsidRPr="00A0458A">
              <w:rPr>
                <w:rFonts w:asciiTheme="minorHAnsi" w:hAnsiTheme="minorHAnsi" w:cstheme="minorHAnsi"/>
                <w:b/>
                <w:sz w:val="28"/>
              </w:rPr>
              <w:t>Ризик</w:t>
            </w:r>
            <w:proofErr w:type="spellEnd"/>
          </w:p>
        </w:tc>
        <w:tc>
          <w:tcPr>
            <w:tcW w:w="2855" w:type="dxa"/>
            <w:shd w:val="clear" w:color="auto" w:fill="C5E0B3" w:themeFill="accent6" w:themeFillTint="66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  <w:lang w:val="sr-Cyrl-RS"/>
              </w:rPr>
              <w:t>Минимална у</w:t>
            </w:r>
            <w:proofErr w:type="spellStart"/>
            <w:r w:rsidRPr="00A0458A">
              <w:rPr>
                <w:rFonts w:asciiTheme="minorHAnsi" w:hAnsiTheme="minorHAnsi" w:cstheme="minorHAnsi"/>
                <w:b/>
                <w:sz w:val="28"/>
              </w:rPr>
              <w:t>честалост</w:t>
            </w:r>
            <w:proofErr w:type="spellEnd"/>
            <w:r w:rsidRPr="00A0458A">
              <w:rPr>
                <w:rFonts w:asciiTheme="minorHAnsi" w:hAnsiTheme="minorHAnsi" w:cstheme="minorHAnsi"/>
                <w:b/>
                <w:sz w:val="2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theme="minorHAnsi"/>
                <w:b/>
                <w:sz w:val="28"/>
              </w:rPr>
              <w:t>инспекција</w:t>
            </w:r>
            <w:proofErr w:type="spellEnd"/>
          </w:p>
        </w:tc>
      </w:tr>
      <w:tr w:rsidR="00781A4B" w:rsidRPr="00A0458A" w:rsidTr="00AE03E0">
        <w:trPr>
          <w:jc w:val="center"/>
        </w:trPr>
        <w:tc>
          <w:tcPr>
            <w:tcW w:w="2854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незнатан</w:t>
            </w:r>
            <w:proofErr w:type="spellEnd"/>
          </w:p>
        </w:tc>
        <w:tc>
          <w:tcPr>
            <w:tcW w:w="2855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Једном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у </w:t>
            </w:r>
            <w:r>
              <w:rPr>
                <w:rFonts w:asciiTheme="minorHAnsi" w:hAnsiTheme="minorHAnsi" w:cstheme="minorHAnsi"/>
                <w:sz w:val="22"/>
                <w:lang w:val="sr-Cyrl-RS"/>
              </w:rPr>
              <w:t>три</w:t>
            </w:r>
            <w:r w:rsidRPr="00A0458A">
              <w:rPr>
                <w:rFonts w:asciiTheme="minorHAnsi" w:hAnsiTheme="minorHAnsi" w:cstheme="minorHAnsi"/>
                <w:sz w:val="22"/>
                <w:lang w:val="sr-Cyrl-RS"/>
              </w:rPr>
              <w:t xml:space="preserve"> године</w:t>
            </w:r>
          </w:p>
        </w:tc>
      </w:tr>
      <w:tr w:rsidR="00781A4B" w:rsidRPr="00A0458A" w:rsidTr="00AE03E0">
        <w:trPr>
          <w:jc w:val="center"/>
        </w:trPr>
        <w:tc>
          <w:tcPr>
            <w:tcW w:w="2854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низак</w:t>
            </w:r>
            <w:proofErr w:type="spellEnd"/>
          </w:p>
        </w:tc>
        <w:tc>
          <w:tcPr>
            <w:tcW w:w="2855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Једном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у </w:t>
            </w:r>
            <w:r w:rsidRPr="00A0458A">
              <w:rPr>
                <w:rFonts w:asciiTheme="minorHAnsi" w:hAnsiTheme="minorHAnsi" w:cstheme="minorHAnsi"/>
                <w:sz w:val="22"/>
                <w:lang w:val="sr-Cyrl-RS"/>
              </w:rPr>
              <w:t>две године</w:t>
            </w:r>
          </w:p>
        </w:tc>
      </w:tr>
      <w:tr w:rsidR="00781A4B" w:rsidRPr="00A0458A" w:rsidTr="00AE03E0">
        <w:trPr>
          <w:jc w:val="center"/>
        </w:trPr>
        <w:tc>
          <w:tcPr>
            <w:tcW w:w="2854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средњи</w:t>
            </w:r>
            <w:proofErr w:type="spellEnd"/>
          </w:p>
        </w:tc>
        <w:tc>
          <w:tcPr>
            <w:tcW w:w="2855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Једном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0458A">
              <w:rPr>
                <w:rFonts w:asciiTheme="minorHAnsi" w:hAnsiTheme="minorHAnsi" w:cstheme="minorHAnsi"/>
                <w:sz w:val="22"/>
                <w:lang w:val="sr-Cyrl-RS"/>
              </w:rPr>
              <w:t>годишње</w:t>
            </w:r>
          </w:p>
        </w:tc>
      </w:tr>
      <w:tr w:rsidR="00781A4B" w:rsidRPr="00A0458A" w:rsidTr="00AE03E0">
        <w:trPr>
          <w:jc w:val="center"/>
        </w:trPr>
        <w:tc>
          <w:tcPr>
            <w:tcW w:w="2854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висок</w:t>
            </w:r>
            <w:proofErr w:type="spellEnd"/>
          </w:p>
        </w:tc>
        <w:tc>
          <w:tcPr>
            <w:tcW w:w="2855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Једном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или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двапут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годишње</w:t>
            </w:r>
            <w:proofErr w:type="spellEnd"/>
          </w:p>
        </w:tc>
      </w:tr>
      <w:tr w:rsidR="00781A4B" w:rsidRPr="00A0458A" w:rsidTr="00AE03E0">
        <w:trPr>
          <w:jc w:val="center"/>
        </w:trPr>
        <w:tc>
          <w:tcPr>
            <w:tcW w:w="2854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критичан</w:t>
            </w:r>
            <w:proofErr w:type="spellEnd"/>
          </w:p>
        </w:tc>
        <w:tc>
          <w:tcPr>
            <w:tcW w:w="2855" w:type="dxa"/>
            <w:vAlign w:val="center"/>
          </w:tcPr>
          <w:p w:rsidR="00781A4B" w:rsidRPr="00A0458A" w:rsidRDefault="00781A4B" w:rsidP="00AE03E0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Два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и </w:t>
            </w: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више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пута</w:t>
            </w:r>
            <w:proofErr w:type="spellEnd"/>
            <w:r w:rsidRPr="00A0458A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theme="minorHAnsi"/>
                <w:sz w:val="22"/>
              </w:rPr>
              <w:t>годишње</w:t>
            </w:r>
            <w:proofErr w:type="spellEnd"/>
          </w:p>
        </w:tc>
      </w:tr>
    </w:tbl>
    <w:p w:rsidR="00781A4B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sz w:val="23"/>
          <w:szCs w:val="23"/>
        </w:rPr>
      </w:pPr>
      <w:r w:rsidRPr="00323C18">
        <w:rPr>
          <w:rFonts w:asciiTheme="minorHAnsi" w:hAnsiTheme="minorHAnsi"/>
          <w:sz w:val="20"/>
          <w:lang w:val="sr-Cyrl-CS"/>
        </w:rPr>
        <w:t xml:space="preserve">  </w:t>
      </w:r>
      <w:r w:rsidRPr="00323C18">
        <w:rPr>
          <w:rFonts w:asciiTheme="minorHAnsi" w:hAnsiTheme="minorHAnsi"/>
          <w:szCs w:val="23"/>
        </w:rPr>
        <w:t>Редовни инспекцијски надзор подразумева минималну учесталост у временском периоду. Минимална учесталост може бити предвиђена прописом, или на други начин. Што је већи ризик, то је већа и потреба за учесталијим инспекцијским надзором.</w:t>
      </w:r>
      <w:r w:rsidRPr="00A0458A">
        <w:rPr>
          <w:rFonts w:asciiTheme="minorHAnsi" w:hAnsiTheme="minorHAnsi"/>
          <w:sz w:val="23"/>
          <w:szCs w:val="23"/>
        </w:rPr>
        <w:t xml:space="preserve"> 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 w:line="240" w:lineRule="auto"/>
        <w:ind w:left="1560"/>
        <w:contextualSpacing w:val="0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Период у коме ће се вршити инспекцијски надзор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Годишњи план инспекцијског надзора је основ за полугодишње, тромесечно и месечно планирање, у складу са којим ће се припремати извештаји, надлежном орган по закону,  о извршењу инспекцијског надзора. Основ планирања инспекцијског надзора је у складу са одредбама члана 8. и 9. Закона о инспекцијском надзору а извештавање у складу са чланом 11. и 12. Закона о инспекцијском надзору.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sz w:val="6"/>
          <w:szCs w:val="6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/>
        <w:ind w:left="993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ПОДАЦИ О РЕСУРСИМА ИНСПЕКЦИЈЕ КОЈИ ЋЕ БИТИ ОПРЕДЕЉЕНИ ЗА ВРШЕЊЕ НАДЗОРА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/>
        <w:ind w:left="1418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Кадровски капацитет инспекције за железнички саобраћај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Инспекцијски надзор над применом наведених закона, прописа донетих за њихово спровођење као и прописа и општих аката којима се уређује безбедност и интероперабилност у железничком саобраћају вршиће два инспектора железничког саобраћаја: Јово Милановић и Дејан Томић.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Интерном прерасподелом терена </w:t>
      </w:r>
      <w:r w:rsidRPr="00A0458A">
        <w:rPr>
          <w:rFonts w:asciiTheme="minorHAnsi" w:hAnsiTheme="minorHAnsi"/>
          <w:color w:val="000000"/>
          <w:lang w:val="sr-Cyrl-CS"/>
        </w:rPr>
        <w:t xml:space="preserve">по регионалној основи </w:t>
      </w:r>
      <w:r w:rsidRPr="00A0458A">
        <w:rPr>
          <w:rFonts w:asciiTheme="minorHAnsi" w:hAnsiTheme="minorHAnsi"/>
          <w:lang w:val="sr-Cyrl-CS"/>
        </w:rPr>
        <w:t xml:space="preserve">инспектор Дејан Томић ће бити задужен за </w:t>
      </w:r>
      <w:r w:rsidRPr="00A0458A">
        <w:rPr>
          <w:rFonts w:asciiTheme="minorHAnsi" w:hAnsiTheme="minorHAnsi"/>
          <w:color w:val="000000"/>
          <w:lang w:val="sr-Cyrl-CS"/>
        </w:rPr>
        <w:t>обављање надзор на територији Срема и Баната а инспектор Јово Милановић обавља надзор на територији Бачке.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Инспектор Јово Милановић неће бити у могућности да у пуном капацитету обавља инспекцијски надзор обзиром на то да ће, као шеф Одсека за инспекцијски надзор, обављати административне послове на координацији рада инспектора у свом одсеку.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/>
        <w:ind w:left="1418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Дневни капацитет за инспекцијски надзор у 2021. години</w:t>
      </w:r>
    </w:p>
    <w:p w:rsidR="00781A4B" w:rsidRPr="00A0458A" w:rsidRDefault="00781A4B" w:rsidP="00781A4B">
      <w:pPr>
        <w:spacing w:before="120" w:after="120"/>
        <w:ind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Инспекцијски надзор у 2021. години ће се спроводити на терену и у канцеларији. </w:t>
      </w:r>
    </w:p>
    <w:p w:rsidR="00781A4B" w:rsidRPr="00A0458A" w:rsidRDefault="00781A4B" w:rsidP="00781A4B">
      <w:pPr>
        <w:spacing w:before="120" w:after="120"/>
        <w:ind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На основу праћења стања код надзираних субјеката постигнутог анализом докумената претходно наведених, утврђиваће се степен ризика и сходно томе опредељивати одређена врста инспекцијског надзора на терену: редован, ванредни или мешовити. Контролни и допунски надзор се обављају у случајевима по закону.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Од укупно 365 дана у години, када се одбију дани:</w:t>
      </w:r>
    </w:p>
    <w:p w:rsidR="00781A4B" w:rsidRPr="00A0458A" w:rsidRDefault="00781A4B" w:rsidP="00781A4B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викенда: 104 дана,</w:t>
      </w:r>
    </w:p>
    <w:p w:rsidR="00781A4B" w:rsidRPr="00A0458A" w:rsidRDefault="00781A4B" w:rsidP="00781A4B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празника: 8 дана и</w:t>
      </w:r>
    </w:p>
    <w:p w:rsidR="00781A4B" w:rsidRPr="00A0458A" w:rsidRDefault="00781A4B" w:rsidP="00781A4B">
      <w:pPr>
        <w:pStyle w:val="ListParagraph"/>
        <w:numPr>
          <w:ilvl w:val="0"/>
          <w:numId w:val="10"/>
        </w:numPr>
        <w:spacing w:before="120" w:after="120" w:line="240" w:lineRule="auto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годишњег одмора: 30 дана,</w:t>
      </w:r>
    </w:p>
    <w:p w:rsidR="00781A4B" w:rsidRPr="00A0458A" w:rsidRDefault="00781A4B" w:rsidP="00781A4B">
      <w:pPr>
        <w:spacing w:before="120" w:after="12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за непосредни инспекцијски надзор и друге послове као: припрему надзора, прораду дневних оперaтивних извештаја,  прораду прописа (важећих, нових и припреме нових одредби), послове на окончању надзора, радне састанке, едукације, пријем странака и дневну пошту, преостаје 223 радна дана. </w:t>
      </w:r>
    </w:p>
    <w:p w:rsidR="00781A4B" w:rsidRPr="00A0458A" w:rsidRDefault="00781A4B" w:rsidP="00781A4B">
      <w:pPr>
        <w:spacing w:before="120" w:after="12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У следећој табели је приказана расподела дана по једном инспектору: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5811"/>
        <w:gridCol w:w="479"/>
        <w:gridCol w:w="583"/>
        <w:gridCol w:w="642"/>
      </w:tblGrid>
      <w:tr w:rsidR="00781A4B" w:rsidRPr="00A0458A" w:rsidTr="00AE03E0">
        <w:trPr>
          <w:trHeight w:val="678"/>
          <w:jc w:val="center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sz w:val="22"/>
                <w:lang w:val="sr-Cyrl-CS"/>
              </w:rPr>
              <w:t xml:space="preserve">Расподела расположивих радних дана у 2021. </w:t>
            </w:r>
            <w:r w:rsidRPr="00A0458A">
              <w:rPr>
                <w:rFonts w:asciiTheme="minorHAnsi" w:hAnsiTheme="minorHAnsi" w:cstheme="minorHAnsi"/>
                <w:b/>
                <w:sz w:val="22"/>
                <w:lang w:val="sr-Cyrl-RS"/>
              </w:rPr>
              <w:t>г</w:t>
            </w:r>
            <w:r w:rsidRPr="00A0458A">
              <w:rPr>
                <w:rFonts w:asciiTheme="minorHAnsi" w:hAnsiTheme="minorHAnsi" w:cstheme="minorHAnsi"/>
                <w:b/>
                <w:sz w:val="22"/>
                <w:lang w:val="sr-Cyrl-CS"/>
              </w:rPr>
              <w:t>одини</w:t>
            </w:r>
          </w:p>
        </w:tc>
      </w:tr>
      <w:tr w:rsidR="00781A4B" w:rsidRPr="00A0458A" w:rsidTr="00AE03E0">
        <w:trPr>
          <w:trHeight w:val="328"/>
          <w:jc w:val="center"/>
        </w:trPr>
        <w:tc>
          <w:tcPr>
            <w:tcW w:w="91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left="32"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Укупан број дана у години</w:t>
            </w:r>
          </w:p>
        </w:tc>
        <w:tc>
          <w:tcPr>
            <w:tcW w:w="5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1A4B" w:rsidRPr="00A0458A" w:rsidRDefault="00781A4B" w:rsidP="00AE03E0">
            <w:pPr>
              <w:ind w:right="-48"/>
              <w:jc w:val="right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365</w:t>
            </w:r>
          </w:p>
        </w:tc>
      </w:tr>
      <w:tr w:rsidR="00781A4B" w:rsidRPr="00A0458A" w:rsidTr="00AE03E0">
        <w:trPr>
          <w:trHeight w:val="328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left="32"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Број нерадних дана током викенда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1A4B" w:rsidRPr="00A0458A" w:rsidRDefault="00781A4B" w:rsidP="00AE03E0">
            <w:pPr>
              <w:ind w:right="-48"/>
              <w:jc w:val="right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104</w:t>
            </w:r>
          </w:p>
        </w:tc>
      </w:tr>
      <w:tr w:rsidR="00781A4B" w:rsidRPr="00A0458A" w:rsidTr="00AE03E0">
        <w:trPr>
          <w:trHeight w:val="328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left="32"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Годишњи одмор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1A4B" w:rsidRPr="00A0458A" w:rsidRDefault="00781A4B" w:rsidP="00AE03E0">
            <w:pPr>
              <w:ind w:right="-48"/>
              <w:jc w:val="right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30</w:t>
            </w:r>
          </w:p>
        </w:tc>
      </w:tr>
      <w:tr w:rsidR="00781A4B" w:rsidRPr="00A0458A" w:rsidTr="00AE03E0">
        <w:trPr>
          <w:trHeight w:val="328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left="32"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Нерадни дани за празнике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1A4B" w:rsidRPr="00A0458A" w:rsidRDefault="00781A4B" w:rsidP="00AE03E0">
            <w:pPr>
              <w:ind w:right="-48"/>
              <w:jc w:val="right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8</w:t>
            </w:r>
          </w:p>
        </w:tc>
      </w:tr>
      <w:tr w:rsidR="00781A4B" w:rsidRPr="00A0458A" w:rsidTr="00AE03E0">
        <w:trPr>
          <w:trHeight w:val="328"/>
          <w:jc w:val="center"/>
        </w:trPr>
        <w:tc>
          <w:tcPr>
            <w:tcW w:w="9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left="32" w:right="-48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sz w:val="22"/>
                <w:lang w:val="sr-Cyrl-CS"/>
              </w:rPr>
              <w:t>Укупно радних дана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sz w:val="22"/>
                <w:lang w:val="sr-Cyrl-CS"/>
              </w:rPr>
              <w:t>223</w:t>
            </w:r>
          </w:p>
        </w:tc>
      </w:tr>
      <w:tr w:rsidR="00781A4B" w:rsidRPr="00A0458A" w:rsidTr="00AE03E0">
        <w:trPr>
          <w:trHeight w:val="404"/>
          <w:jc w:val="center"/>
        </w:trPr>
        <w:tc>
          <w:tcPr>
            <w:tcW w:w="183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sz w:val="22"/>
                <w:lang w:val="sr-Cyrl-CS"/>
              </w:rPr>
              <w:t>Рад на терену</w:t>
            </w:r>
          </w:p>
        </w:tc>
        <w:tc>
          <w:tcPr>
            <w:tcW w:w="62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Редован надзор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20</w:t>
            </w:r>
          </w:p>
        </w:tc>
        <w:tc>
          <w:tcPr>
            <w:tcW w:w="58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lang w:val="sr-Cyrl-CS"/>
              </w:rPr>
              <w:t>72</w:t>
            </w:r>
          </w:p>
        </w:tc>
        <w:tc>
          <w:tcPr>
            <w:tcW w:w="5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b/>
                <w:sz w:val="28"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sz w:val="28"/>
                <w:lang w:val="sr-Cyrl-CS"/>
              </w:rPr>
              <w:t>223</w:t>
            </w:r>
          </w:p>
        </w:tc>
      </w:tr>
      <w:tr w:rsidR="00781A4B" w:rsidRPr="00A0458A" w:rsidTr="00AE03E0">
        <w:trPr>
          <w:trHeight w:val="432"/>
          <w:jc w:val="center"/>
        </w:trPr>
        <w:tc>
          <w:tcPr>
            <w:tcW w:w="183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Ванредни надзор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20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450"/>
          <w:jc w:val="center"/>
        </w:trPr>
        <w:tc>
          <w:tcPr>
            <w:tcW w:w="183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Контролни надзор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15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468"/>
          <w:jc w:val="center"/>
        </w:trPr>
        <w:tc>
          <w:tcPr>
            <w:tcW w:w="183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Допунски надзор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2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454"/>
          <w:jc w:val="center"/>
        </w:trPr>
        <w:tc>
          <w:tcPr>
            <w:tcW w:w="183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Саветодавне посете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15</w:t>
            </w: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692"/>
          <w:jc w:val="center"/>
        </w:trPr>
        <w:tc>
          <w:tcPr>
            <w:tcW w:w="183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sz w:val="22"/>
                <w:lang w:val="sr-Cyrl-CS"/>
              </w:rPr>
              <w:lastRenderedPageBreak/>
              <w:t>Рад у канцеларији</w:t>
            </w:r>
          </w:p>
        </w:tc>
        <w:tc>
          <w:tcPr>
            <w:tcW w:w="62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 xml:space="preserve">Актвности праћења стања, процена ризика, планирање, усклађивање и координација 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85</w:t>
            </w:r>
          </w:p>
        </w:tc>
        <w:tc>
          <w:tcPr>
            <w:tcW w:w="58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lang w:val="sr-Cyrl-CS"/>
              </w:rPr>
              <w:t>151</w:t>
            </w: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981"/>
          <w:jc w:val="center"/>
        </w:trPr>
        <w:tc>
          <w:tcPr>
            <w:tcW w:w="183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Састанци покрајинске инспекције са различитим нивоима инспекција, републичким, градским и општинским инспекцијама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10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414"/>
          <w:jc w:val="center"/>
        </w:trPr>
        <w:tc>
          <w:tcPr>
            <w:tcW w:w="183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Едукације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4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</w:tr>
      <w:tr w:rsidR="00781A4B" w:rsidRPr="00A0458A" w:rsidTr="00AE03E0">
        <w:trPr>
          <w:trHeight w:val="472"/>
          <w:jc w:val="center"/>
        </w:trPr>
        <w:tc>
          <w:tcPr>
            <w:tcW w:w="183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ind w:right="-48"/>
              <w:jc w:val="both"/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ind w:right="-48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 xml:space="preserve">Остале активности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1A4B" w:rsidRPr="00A0458A" w:rsidRDefault="00781A4B" w:rsidP="00AE03E0">
            <w:pPr>
              <w:ind w:right="-48"/>
              <w:jc w:val="center"/>
              <w:rPr>
                <w:rFonts w:asciiTheme="minorHAnsi" w:hAnsiTheme="minorHAnsi" w:cstheme="minorHAnsi"/>
                <w:sz w:val="22"/>
                <w:lang w:val="sr-Cyrl-CS"/>
              </w:rPr>
            </w:pPr>
            <w:r w:rsidRPr="00A0458A">
              <w:rPr>
                <w:rFonts w:asciiTheme="minorHAnsi" w:hAnsiTheme="minorHAnsi" w:cstheme="minorHAnsi"/>
                <w:sz w:val="22"/>
                <w:lang w:val="sr-Cyrl-CS"/>
              </w:rPr>
              <w:t>52</w:t>
            </w:r>
          </w:p>
        </w:tc>
        <w:tc>
          <w:tcPr>
            <w:tcW w:w="58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sz w:val="22"/>
                <w:lang w:val="sr-Cyrl-CS"/>
              </w:rPr>
            </w:pPr>
          </w:p>
        </w:tc>
      </w:tr>
    </w:tbl>
    <w:p w:rsidR="00781A4B" w:rsidRPr="00A0458A" w:rsidRDefault="00781A4B" w:rsidP="00781A4B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</w:p>
    <w:p w:rsidR="00781A4B" w:rsidRPr="00A0458A" w:rsidRDefault="00781A4B" w:rsidP="00781A4B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Планирано је да на терену (укључујући и саветодавне посете), инспектор буде 72 радних дана или 32,3 % расположивих радних дана а у канцеларији 151 радни дан или 67,7% расположивих радних дана.</w:t>
      </w:r>
    </w:p>
    <w:p w:rsidR="00781A4B" w:rsidRPr="00A0458A" w:rsidRDefault="00781A4B" w:rsidP="00781A4B">
      <w:pPr>
        <w:ind w:right="-48" w:firstLine="36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За остале активности планирано је да се користити укупно 52 дана и то у канцеларији. Те активности су: 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упознавању и обраду информација и извештаја о несрећама, месечних тромесечних, шестомесечних, деветомесечних и годишњих,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прораду прописа у припреми за надзоре и аналитички због предлога за корекцију,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прорада нових прописа,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изради информација за покрајинског секретара,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процени ризика код надзираних субјеката,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изради извештаја и планова,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анализи дневних оперативне извештаје о одвијању железничког саобраћаја у Секцијама за саобраћајне послове и Организационим јединицама за саобраћајне послове: Суботица, Нови Сад, Рума и Зрењанин,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анализи дневних оперативне извештаје о стању СС и ТК уређаја у Секцији за електротехничке послове Нови Сад,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анализи недељних извештаје о противправним радњама на железници (крађе железничке инфраструктуре, робе у теретном саобраћају и оштећење возова у путничком саобраћају),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анализи месечних, тромесечних, шестомесечних, деветомесечних и годишњих извештаја о безбедност тј. насталим несрећама и незгодама у Секцијама за саобраћајне послове и Организационим јединицама за саобраћајне послове: Суботица, Нови Сад, Рума и Зрењанин,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праћењу и анализи пристиглих телеграма о уведеним лаганим вожњама и ограниченим брзинама,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изради решења, 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изради пријава судији за прекршаје, привредне преступе,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изради препорука и израда аката о примени прописа;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изради службених дописа у сврху допуне материјала записника, решења,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упознавању са изменама прописа,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пријему странака,</w:t>
      </w:r>
    </w:p>
    <w:p w:rsidR="00781A4B" w:rsidRPr="00A0458A" w:rsidRDefault="00781A4B" w:rsidP="00781A4B">
      <w:pPr>
        <w:pStyle w:val="ListParagraph"/>
        <w:numPr>
          <w:ilvl w:val="0"/>
          <w:numId w:val="15"/>
        </w:numPr>
        <w:ind w:right="-48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обрада службене поште,</w:t>
      </w:r>
    </w:p>
    <w:p w:rsidR="00781A4B" w:rsidRPr="00A0458A" w:rsidRDefault="00781A4B" w:rsidP="00781A4B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Трајање инспекцијског надзора на терену планира се просечно на 8 часова, с тим да се припрема, начин одвијања, трајање и окончање надзора разликују за редован и контролни надзор, код којих је највећа разлика нпр. у трајању прегледа документације и надзора на терену (ако је потребан) а посебно за ванредан надзор. </w:t>
      </w:r>
    </w:p>
    <w:p w:rsidR="00781A4B" w:rsidRPr="00A0458A" w:rsidRDefault="00781A4B" w:rsidP="00781A4B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Расподеле потребног времена у случају редовног надзора приказан је у следећој табели: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04"/>
        <w:gridCol w:w="1412"/>
      </w:tblGrid>
      <w:tr w:rsidR="00781A4B" w:rsidRPr="00A0458A" w:rsidTr="00AE03E0">
        <w:trPr>
          <w:trHeight w:val="755"/>
          <w:jc w:val="center"/>
        </w:trPr>
        <w:tc>
          <w:tcPr>
            <w:tcW w:w="6804" w:type="dxa"/>
            <w:shd w:val="clear" w:color="auto" w:fill="C5E0B3" w:themeFill="accent6" w:themeFillTint="66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b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b/>
                <w:szCs w:val="22"/>
                <w:lang w:val="sr-Cyrl-CS"/>
              </w:rPr>
              <w:lastRenderedPageBreak/>
              <w:t>Процедура у инспекцијском надзору над објектом јавне железничке инфраструктуре</w:t>
            </w:r>
          </w:p>
        </w:tc>
        <w:tc>
          <w:tcPr>
            <w:tcW w:w="1412" w:type="dxa"/>
            <w:shd w:val="clear" w:color="auto" w:fill="C5E0B3" w:themeFill="accent6" w:themeFillTint="66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b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b/>
                <w:szCs w:val="22"/>
                <w:lang w:val="sr-Cyrl-CS"/>
              </w:rPr>
              <w:t xml:space="preserve">Време трајања </w:t>
            </w:r>
          </w:p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b/>
                <w:szCs w:val="22"/>
                <w:lang w:val="sr-Latn-RS"/>
              </w:rPr>
            </w:pPr>
            <w:r w:rsidRPr="00A0458A">
              <w:rPr>
                <w:rFonts w:asciiTheme="minorHAnsi" w:hAnsiTheme="minorHAnsi"/>
                <w:b/>
                <w:szCs w:val="22"/>
                <w:lang w:val="sr-Cyrl-CS"/>
              </w:rPr>
              <w:t>(</w:t>
            </w:r>
            <w:r w:rsidRPr="00A0458A">
              <w:rPr>
                <w:rFonts w:asciiTheme="minorHAnsi" w:hAnsiTheme="minorHAnsi"/>
                <w:b/>
                <w:szCs w:val="22"/>
                <w:lang w:val="sr-Latn-RS"/>
              </w:rPr>
              <w:t>h)</w:t>
            </w:r>
          </w:p>
        </w:tc>
      </w:tr>
      <w:tr w:rsidR="00781A4B" w:rsidRPr="00A0458A" w:rsidTr="00AE03E0">
        <w:trPr>
          <w:trHeight w:val="353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lang w:val="sr-Cyrl-CS"/>
              </w:rPr>
              <w:t>припрема за надзор и долазак на објекат надзора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sz w:val="22"/>
                <w:szCs w:val="22"/>
                <w:lang w:val="sr-Cyrl-RS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Cyrl-RS"/>
              </w:rPr>
              <w:t>2</w:t>
            </w:r>
          </w:p>
        </w:tc>
      </w:tr>
      <w:tr w:rsidR="00781A4B" w:rsidRPr="00A0458A" w:rsidTr="00AE03E0">
        <w:trPr>
          <w:trHeight w:val="353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/>
                <w:sz w:val="22"/>
                <w:szCs w:val="22"/>
                <w:lang w:val="sr-Latn-RS"/>
              </w:rPr>
            </w:pPr>
            <w:r w:rsidRPr="00A0458A">
              <w:rPr>
                <w:rFonts w:asciiTheme="minorHAnsi" w:hAnsiTheme="minorHAnsi"/>
                <w:lang w:val="sr-Cyrl-CS"/>
              </w:rPr>
              <w:t>увид у документа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sz w:val="22"/>
                <w:szCs w:val="22"/>
                <w:lang w:val="sr-Latn-RS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Latn-RS"/>
              </w:rPr>
              <w:t>1,5</w:t>
            </w:r>
          </w:p>
        </w:tc>
      </w:tr>
      <w:tr w:rsidR="00781A4B" w:rsidRPr="00A0458A" w:rsidTr="00AE03E0">
        <w:trPr>
          <w:trHeight w:val="353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/>
                <w:sz w:val="22"/>
                <w:szCs w:val="22"/>
                <w:lang w:val="sr-Cyrl-RS"/>
              </w:rPr>
            </w:pPr>
            <w:r w:rsidRPr="00A0458A">
              <w:rPr>
                <w:rFonts w:asciiTheme="minorHAnsi" w:hAnsiTheme="minorHAnsi"/>
                <w:lang w:val="sr-Latn-RS"/>
              </w:rPr>
              <w:t>Обилазак терена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Cyrl-CS"/>
              </w:rPr>
              <w:t>1,5</w:t>
            </w:r>
          </w:p>
        </w:tc>
      </w:tr>
      <w:tr w:rsidR="00781A4B" w:rsidRPr="00A0458A" w:rsidTr="00AE03E0">
        <w:trPr>
          <w:trHeight w:val="353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lang w:val="sr-Cyrl-CS"/>
              </w:rPr>
              <w:t>састављање записника и рад по контролној листи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Cyrl-CS"/>
              </w:rPr>
              <w:t>1,5</w:t>
            </w:r>
          </w:p>
        </w:tc>
      </w:tr>
      <w:tr w:rsidR="00781A4B" w:rsidRPr="00A0458A" w:rsidTr="00AE03E0">
        <w:trPr>
          <w:trHeight w:val="353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lang w:val="sr-Cyrl-CS"/>
              </w:rPr>
              <w:t>окончање инспекцијског надзора (штампање записника, потписивање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Cyrl-CS"/>
              </w:rPr>
              <w:t>0,5</w:t>
            </w:r>
          </w:p>
        </w:tc>
      </w:tr>
      <w:tr w:rsidR="00781A4B" w:rsidRPr="00A0458A" w:rsidTr="00AE03E0">
        <w:trPr>
          <w:trHeight w:val="353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lang w:val="sr-Cyrl-CS"/>
              </w:rPr>
              <w:t>повратак са терена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/>
                <w:sz w:val="22"/>
                <w:szCs w:val="22"/>
                <w:lang w:val="sr-Cyrl-CS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Cyrl-CS"/>
              </w:rPr>
              <w:t>1</w:t>
            </w:r>
          </w:p>
        </w:tc>
      </w:tr>
      <w:tr w:rsidR="00781A4B" w:rsidRPr="00A0458A" w:rsidTr="00AE03E0">
        <w:trPr>
          <w:trHeight w:val="504"/>
          <w:jc w:val="center"/>
        </w:trPr>
        <w:tc>
          <w:tcPr>
            <w:tcW w:w="6804" w:type="dxa"/>
            <w:vAlign w:val="center"/>
          </w:tcPr>
          <w:p w:rsidR="00781A4B" w:rsidRPr="00A0458A" w:rsidRDefault="00781A4B" w:rsidP="00AE03E0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lang w:val="sr-Cyrl-CS"/>
              </w:rPr>
              <w:t>УКУПНО</w:t>
            </w:r>
          </w:p>
        </w:tc>
        <w:tc>
          <w:tcPr>
            <w:tcW w:w="1412" w:type="dxa"/>
            <w:vAlign w:val="center"/>
          </w:tcPr>
          <w:p w:rsidR="00781A4B" w:rsidRPr="00A0458A" w:rsidRDefault="00781A4B" w:rsidP="00AE03E0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A0458A">
              <w:rPr>
                <w:rFonts w:asciiTheme="minorHAnsi" w:hAnsiTheme="minorHAnsi" w:cstheme="minorHAnsi"/>
                <w:b/>
                <w:lang w:val="sr-Cyrl-CS"/>
              </w:rPr>
              <w:t>8</w:t>
            </w:r>
          </w:p>
        </w:tc>
      </w:tr>
    </w:tbl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Наведена расподела је другачија за објекте железничких превозник у теретном железничком саобраћају, путничком саобраћају и индустријским колосецима и представља израз просечних вредности трајања инспекцијског надзора које се драстично могу разликовати од случаја до случаја а посебно код ванредних надзора за које још нису изграђене контролне листе. </w:t>
      </w:r>
    </w:p>
    <w:p w:rsidR="00781A4B" w:rsidRPr="00A0458A" w:rsidRDefault="00781A4B" w:rsidP="00781A4B">
      <w:pPr>
        <w:pStyle w:val="ListParagraph"/>
        <w:numPr>
          <w:ilvl w:val="1"/>
          <w:numId w:val="1"/>
        </w:numPr>
        <w:spacing w:before="120" w:after="120"/>
        <w:ind w:left="1418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Инспекцијски надзор на терену - области</w:t>
      </w:r>
    </w:p>
    <w:p w:rsidR="00781A4B" w:rsidRPr="00A0458A" w:rsidRDefault="00781A4B" w:rsidP="00781A4B">
      <w:pPr>
        <w:ind w:right="-48" w:firstLine="709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На основу процењеног ризика код назираних субјеката и планираних дана по врстама инспекцијског надзора планирају се следећи инспекцијски надзори: 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саобраћај возова у зимским условима 2020/2021,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надзор током ноћи преласка на нови ред вожње 2020/2021,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законитости радова на изградњи и одржавању железничке инфраструктуре,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стања железничких возила и њиховог правилног одржавања,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контрола пословних редова станице,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испуњености услова управљача железничке ифраструктуре и превозника,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извршења реда вожње,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исправности рада железничких радника,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испуњености услова за одвијање саобраћаја на путним прелазима,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правилног истраживања узрока несреће или незгоде,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провера испуњености услова из Акта о индустријском колосеку,</w:t>
      </w:r>
    </w:p>
    <w:p w:rsidR="00781A4B" w:rsidRPr="00A0458A" w:rsidRDefault="00781A4B" w:rsidP="00781A4B">
      <w:pPr>
        <w:numPr>
          <w:ilvl w:val="0"/>
          <w:numId w:val="5"/>
        </w:numPr>
        <w:ind w:left="0" w:right="-48"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надзор на извршењу железничког саобраћаја током важнијих културних манифестација:</w:t>
      </w:r>
    </w:p>
    <w:p w:rsidR="00781A4B" w:rsidRPr="00A0458A" w:rsidRDefault="00781A4B" w:rsidP="00781A4B">
      <w:pPr>
        <w:numPr>
          <w:ilvl w:val="2"/>
          <w:numId w:val="11"/>
        </w:numPr>
        <w:ind w:right="-48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„EXIT-2021“, </w:t>
      </w:r>
    </w:p>
    <w:p w:rsidR="00781A4B" w:rsidRPr="00A0458A" w:rsidRDefault="00781A4B" w:rsidP="00781A4B">
      <w:pPr>
        <w:numPr>
          <w:ilvl w:val="2"/>
          <w:numId w:val="11"/>
        </w:numPr>
        <w:ind w:right="-48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„Берба грожђа Сремски Карловци 2021“, </w:t>
      </w:r>
    </w:p>
    <w:p w:rsidR="00781A4B" w:rsidRPr="00A0458A" w:rsidRDefault="00781A4B" w:rsidP="00781A4B">
      <w:pPr>
        <w:numPr>
          <w:ilvl w:val="2"/>
          <w:numId w:val="11"/>
        </w:numPr>
        <w:ind w:right="-48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>„У част грожђа и вина – Вршац 2021“.</w:t>
      </w:r>
    </w:p>
    <w:p w:rsidR="00781A4B" w:rsidRPr="00A0458A" w:rsidRDefault="00781A4B" w:rsidP="00781A4B">
      <w:pPr>
        <w:ind w:right="-48" w:firstLine="360"/>
        <w:jc w:val="both"/>
        <w:rPr>
          <w:rFonts w:asciiTheme="minorHAnsi" w:hAnsiTheme="minorHAnsi"/>
          <w:sz w:val="22"/>
          <w:szCs w:val="22"/>
          <w:lang w:val="sr-Cyrl-CS"/>
        </w:rPr>
      </w:pPr>
      <w:r w:rsidRPr="00A0458A">
        <w:rPr>
          <w:rFonts w:asciiTheme="minorHAnsi" w:hAnsiTheme="minorHAnsi"/>
          <w:sz w:val="22"/>
          <w:szCs w:val="22"/>
          <w:lang w:val="sr-Cyrl-CS"/>
        </w:rPr>
        <w:t xml:space="preserve">Посебна пажња током инспекцијског рада на терену биће на безбедном одвијању саобраћаја на путним прелазима. </w:t>
      </w:r>
    </w:p>
    <w:p w:rsidR="00781A4B" w:rsidRPr="00A0458A" w:rsidRDefault="00781A4B" w:rsidP="00781A4B">
      <w:pPr>
        <w:ind w:right="-48" w:firstLine="708"/>
        <w:jc w:val="both"/>
        <w:rPr>
          <w:rFonts w:asciiTheme="minorHAnsi" w:hAnsiTheme="minorHAnsi"/>
          <w:sz w:val="22"/>
          <w:szCs w:val="22"/>
          <w:lang w:val="sr-Cyrl-CS"/>
        </w:rPr>
      </w:pP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/>
        <w:ind w:left="993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ОПРЕМЉЕНОСТ ИНСПЕКТОРА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За теренски рад инспектори ће користити службене аутомобиле.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Инспектори немају заштитна средства за случајеве наиласка на хемијски агресивну средину, идентификаторе отровности (гасови се превозе) и дозиметре јонизујућег зрачења (радиоактиван отпад је веома чест).</w:t>
      </w:r>
    </w:p>
    <w:p w:rsidR="00781A4B" w:rsidRPr="00A0458A" w:rsidRDefault="00781A4B" w:rsidP="00781A4B">
      <w:pPr>
        <w:pStyle w:val="ListParagraph"/>
        <w:numPr>
          <w:ilvl w:val="0"/>
          <w:numId w:val="1"/>
        </w:numPr>
        <w:spacing w:before="120" w:after="120"/>
        <w:ind w:left="993"/>
        <w:rPr>
          <w:rFonts w:asciiTheme="minorHAnsi" w:hAnsiTheme="minorHAnsi" w:cs="Calibri"/>
          <w:b/>
          <w:szCs w:val="28"/>
          <w:lang w:val="ru-RU"/>
        </w:rPr>
      </w:pPr>
      <w:r w:rsidRPr="00A0458A">
        <w:rPr>
          <w:rFonts w:asciiTheme="minorHAnsi" w:hAnsiTheme="minorHAnsi" w:cs="Calibri"/>
          <w:b/>
          <w:szCs w:val="28"/>
          <w:lang w:val="ru-RU"/>
        </w:rPr>
        <w:t>ОПРАЦИОНАЛИЗАЦИЈА ГОДИШЊЕГ ПЛАНА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 xml:space="preserve">Годишњи план се истакнутим приоритетима у претходном периоду, конкретизује полугодишњим планом превиђеним објектима и врстама надзора. </w:t>
      </w:r>
    </w:p>
    <w:p w:rsidR="00781A4B" w:rsidRPr="00A0458A" w:rsidRDefault="00781A4B" w:rsidP="00781A4B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t>Тромесечним плановима ближе ће бити одређени објекти и термини надзора а месечним планом се додатно прецизира и коригује реализација инспекцијског надзора на терену.</w:t>
      </w:r>
    </w:p>
    <w:p w:rsidR="00781A4B" w:rsidRDefault="00781A4B" w:rsidP="00781A4B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rFonts w:asciiTheme="minorHAnsi" w:hAnsiTheme="minorHAnsi"/>
          <w:lang w:val="sr-Cyrl-CS"/>
        </w:rPr>
      </w:pPr>
      <w:r w:rsidRPr="00A0458A">
        <w:rPr>
          <w:rFonts w:asciiTheme="minorHAnsi" w:hAnsiTheme="minorHAnsi"/>
          <w:lang w:val="sr-Cyrl-CS"/>
        </w:rPr>
        <w:lastRenderedPageBreak/>
        <w:t>Сваког понедељка се одржавају седмичне анализе рада у којима се анализирају активности из претходне недеље и планирају активности за текућу недељу.</w:t>
      </w:r>
    </w:p>
    <w:p w:rsidR="00781A4B" w:rsidRDefault="00781A4B" w:rsidP="00781A4B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rFonts w:asciiTheme="minorHAnsi" w:hAnsiTheme="minorHAnsi"/>
          <w:lang w:val="sr-Cyrl-CS"/>
        </w:rPr>
      </w:pPr>
      <w:r>
        <w:rPr>
          <w:lang w:val="sr-Cyrl-RS" w:eastAsia="zh-CN"/>
        </w:rPr>
        <w:t>На извршење плана инспекцијског надзора у 2021. години значајну улогу ће имати време трајања пандемије</w:t>
      </w:r>
      <w:r w:rsidRPr="00AE55FB">
        <w:rPr>
          <w:shd w:val="clear" w:color="auto" w:fill="FFFFFF"/>
          <w:lang w:val="sr-Cyrl-RS"/>
        </w:rPr>
        <w:t xml:space="preserve"> заразне болести COVID-19 изазване вирусом SARS-CoV-</w:t>
      </w:r>
      <w:r>
        <w:rPr>
          <w:shd w:val="clear" w:color="auto" w:fill="FFFFFF"/>
          <w:lang w:val="sr-Cyrl-RS"/>
        </w:rPr>
        <w:t>2.</w:t>
      </w:r>
    </w:p>
    <w:p w:rsidR="00781A4B" w:rsidRDefault="00781A4B" w:rsidP="00781A4B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rFonts w:asciiTheme="minorHAnsi" w:hAnsiTheme="minorHAnsi"/>
          <w:lang w:val="sr-Cyrl-CS"/>
        </w:rPr>
      </w:pPr>
    </w:p>
    <w:p w:rsidR="00781A4B" w:rsidRPr="00392D5F" w:rsidRDefault="00781A4B" w:rsidP="00781A4B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rFonts w:asciiTheme="minorHAnsi" w:hAnsiTheme="minorHAnsi"/>
          <w:sz w:val="20"/>
          <w:szCs w:val="20"/>
          <w:lang w:val="sr-Cyrl-CS"/>
        </w:rPr>
      </w:pPr>
    </w:p>
    <w:tbl>
      <w:tblPr>
        <w:tblStyle w:val="TableGrid"/>
        <w:tblW w:w="10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886"/>
      </w:tblGrid>
      <w:tr w:rsidR="00781A4B" w:rsidRPr="00392D5F" w:rsidTr="00AE03E0">
        <w:tc>
          <w:tcPr>
            <w:tcW w:w="5670" w:type="dxa"/>
          </w:tcPr>
          <w:p w:rsidR="00781A4B" w:rsidRDefault="00781A4B" w:rsidP="00AE03E0">
            <w:pPr>
              <w:spacing w:before="120" w:after="120"/>
              <w:ind w:left="1416"/>
              <w:rPr>
                <w:rFonts w:asciiTheme="minorHAnsi" w:hAnsi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sz w:val="20"/>
                <w:szCs w:val="20"/>
                <w:lang w:val="sr-Cyrl-RS"/>
              </w:rPr>
              <w:t xml:space="preserve">  Одобрио:</w:t>
            </w:r>
          </w:p>
          <w:p w:rsidR="00781A4B" w:rsidRPr="00392D5F" w:rsidRDefault="00781A4B" w:rsidP="00AE03E0">
            <w:pPr>
              <w:spacing w:before="120" w:after="120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>Небојш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а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Војновић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, в.д. 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>пом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.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п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>ок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.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секретара</w:t>
            </w:r>
          </w:p>
        </w:tc>
        <w:tc>
          <w:tcPr>
            <w:tcW w:w="4886" w:type="dxa"/>
          </w:tcPr>
          <w:p w:rsidR="00781A4B" w:rsidRPr="00392D5F" w:rsidRDefault="00781A4B" w:rsidP="00AE03E0">
            <w:pPr>
              <w:ind w:left="144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392D5F">
              <w:rPr>
                <w:rFonts w:asciiTheme="minorHAnsi" w:hAnsiTheme="minorHAnsi"/>
                <w:sz w:val="20"/>
                <w:szCs w:val="20"/>
              </w:rPr>
              <w:t>Инспектор</w:t>
            </w:r>
            <w:proofErr w:type="spellEnd"/>
            <w:r w:rsidRPr="00392D5F">
              <w:rPr>
                <w:rFonts w:asciiTheme="minorHAnsi" w:hAnsiTheme="minorHAnsi"/>
                <w:sz w:val="20"/>
                <w:szCs w:val="20"/>
                <w:lang w:val="sr-Cyrl-RS"/>
              </w:rPr>
              <w:t>и</w:t>
            </w:r>
            <w:r w:rsidRPr="00392D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92D5F">
              <w:rPr>
                <w:rFonts w:asciiTheme="minorHAnsi" w:hAnsiTheme="minorHAnsi"/>
                <w:sz w:val="20"/>
                <w:szCs w:val="20"/>
              </w:rPr>
              <w:t>за</w:t>
            </w:r>
            <w:proofErr w:type="spellEnd"/>
            <w:r w:rsidRPr="00392D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92D5F">
              <w:rPr>
                <w:rFonts w:asciiTheme="minorHAnsi" w:hAnsiTheme="minorHAnsi"/>
                <w:sz w:val="20"/>
                <w:szCs w:val="20"/>
              </w:rPr>
              <w:t>железнички</w:t>
            </w:r>
            <w:proofErr w:type="spellEnd"/>
            <w:r w:rsidRPr="00392D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92D5F">
              <w:rPr>
                <w:rFonts w:asciiTheme="minorHAnsi" w:hAnsiTheme="minorHAnsi"/>
                <w:sz w:val="20"/>
                <w:szCs w:val="20"/>
              </w:rPr>
              <w:t>саобраћај</w:t>
            </w:r>
            <w:proofErr w:type="spellEnd"/>
          </w:p>
          <w:p w:rsidR="00781A4B" w:rsidRPr="00392D5F" w:rsidRDefault="00781A4B" w:rsidP="00AE03E0">
            <w:pPr>
              <w:ind w:left="144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781A4B" w:rsidRPr="00392D5F" w:rsidRDefault="00781A4B" w:rsidP="00AE03E0">
            <w:pPr>
              <w:ind w:left="144"/>
              <w:jc w:val="center"/>
              <w:rPr>
                <w:rFonts w:asciiTheme="minorHAnsi" w:hAnsiTheme="minorHAnsi"/>
                <w:sz w:val="20"/>
                <w:szCs w:val="20"/>
                <w:lang w:val="sr-Cyrl-RS"/>
              </w:rPr>
            </w:pPr>
            <w:proofErr w:type="spellStart"/>
            <w:r w:rsidRPr="00392D5F">
              <w:rPr>
                <w:rFonts w:asciiTheme="minorHAnsi" w:hAnsiTheme="minorHAnsi"/>
                <w:sz w:val="20"/>
                <w:szCs w:val="20"/>
              </w:rPr>
              <w:t>Дејан</w:t>
            </w:r>
            <w:proofErr w:type="spellEnd"/>
            <w:r w:rsidRPr="00392D5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392D5F">
              <w:rPr>
                <w:rFonts w:asciiTheme="minorHAnsi" w:hAnsiTheme="minorHAnsi"/>
                <w:sz w:val="20"/>
                <w:szCs w:val="20"/>
              </w:rPr>
              <w:t>Томић</w:t>
            </w:r>
            <w:proofErr w:type="spellEnd"/>
          </w:p>
          <w:p w:rsidR="00781A4B" w:rsidRPr="00392D5F" w:rsidRDefault="00781A4B" w:rsidP="00AE03E0">
            <w:pPr>
              <w:ind w:left="144"/>
              <w:jc w:val="center"/>
              <w:rPr>
                <w:rFonts w:asciiTheme="minorHAnsi" w:hAnsiTheme="minorHAnsi"/>
                <w:sz w:val="20"/>
                <w:szCs w:val="20"/>
                <w:lang w:val="sr-Cyrl-RS"/>
              </w:rPr>
            </w:pPr>
            <w:r w:rsidRPr="00392D5F">
              <w:rPr>
                <w:rFonts w:asciiTheme="minorHAnsi" w:hAnsiTheme="minorHAnsi"/>
                <w:sz w:val="20"/>
                <w:szCs w:val="20"/>
                <w:lang w:val="sr-Cyrl-RS"/>
              </w:rPr>
              <w:t>Јово Милановић</w:t>
            </w:r>
          </w:p>
          <w:p w:rsidR="00781A4B" w:rsidRPr="00392D5F" w:rsidRDefault="00781A4B" w:rsidP="00AE03E0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</w:p>
        </w:tc>
      </w:tr>
    </w:tbl>
    <w:p w:rsidR="002F0F2A" w:rsidRPr="00781A4B" w:rsidRDefault="002F0F2A" w:rsidP="00781A4B"/>
    <w:sectPr w:rsidR="002F0F2A" w:rsidRPr="00781A4B" w:rsidSect="00A56BB5">
      <w:footerReference w:type="default" r:id="rId9"/>
      <w:pgSz w:w="11906" w:h="16838" w:code="9"/>
      <w:pgMar w:top="426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B0" w:rsidRDefault="003C76B0" w:rsidP="008F7082">
      <w:r>
        <w:separator/>
      </w:r>
    </w:p>
  </w:endnote>
  <w:endnote w:type="continuationSeparator" w:id="0">
    <w:p w:rsidR="003C76B0" w:rsidRDefault="003C76B0" w:rsidP="008F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082" w:rsidRPr="008F7082" w:rsidRDefault="008F7082" w:rsidP="008F7082">
    <w:pPr>
      <w:pStyle w:val="Footer"/>
      <w:pBdr>
        <w:top w:val="single" w:sz="4" w:space="1" w:color="auto"/>
      </w:pBdr>
      <w:jc w:val="center"/>
      <w:rPr>
        <w:rFonts w:ascii="Calibri" w:hAnsi="Calibri"/>
        <w:caps/>
        <w:noProof/>
        <w:sz w:val="20"/>
      </w:rPr>
    </w:pPr>
    <w:r w:rsidRPr="008F7082">
      <w:rPr>
        <w:rFonts w:ascii="Calibri" w:hAnsi="Calibri"/>
        <w:caps/>
        <w:sz w:val="22"/>
      </w:rPr>
      <w:fldChar w:fldCharType="begin"/>
    </w:r>
    <w:r w:rsidRPr="008F7082">
      <w:rPr>
        <w:rFonts w:ascii="Calibri" w:hAnsi="Calibri"/>
        <w:caps/>
        <w:sz w:val="22"/>
      </w:rPr>
      <w:instrText xml:space="preserve"> PAGE   \* MERGEFORMAT </w:instrText>
    </w:r>
    <w:r w:rsidRPr="008F7082">
      <w:rPr>
        <w:rFonts w:ascii="Calibri" w:hAnsi="Calibri"/>
        <w:caps/>
        <w:sz w:val="22"/>
      </w:rPr>
      <w:fldChar w:fldCharType="separate"/>
    </w:r>
    <w:r w:rsidR="00C4149C">
      <w:rPr>
        <w:rFonts w:ascii="Calibri" w:hAnsi="Calibri"/>
        <w:caps/>
        <w:noProof/>
        <w:sz w:val="22"/>
      </w:rPr>
      <w:t>1</w:t>
    </w:r>
    <w:r w:rsidRPr="008F7082">
      <w:rPr>
        <w:rFonts w:ascii="Calibri" w:hAnsi="Calibri"/>
        <w:caps/>
        <w:noProof/>
        <w:sz w:val="22"/>
      </w:rPr>
      <w:fldChar w:fldCharType="end"/>
    </w:r>
  </w:p>
  <w:p w:rsidR="008F7082" w:rsidRDefault="008F7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B0" w:rsidRDefault="003C76B0" w:rsidP="008F7082">
      <w:r>
        <w:separator/>
      </w:r>
    </w:p>
  </w:footnote>
  <w:footnote w:type="continuationSeparator" w:id="0">
    <w:p w:rsidR="003C76B0" w:rsidRDefault="003C76B0" w:rsidP="008F7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6050"/>
    <w:multiLevelType w:val="hybridMultilevel"/>
    <w:tmpl w:val="401830C2"/>
    <w:lvl w:ilvl="0" w:tplc="ABF20E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66203A"/>
    <w:multiLevelType w:val="hybridMultilevel"/>
    <w:tmpl w:val="274E4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AC7F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4AC7F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9256A"/>
    <w:multiLevelType w:val="hybridMultilevel"/>
    <w:tmpl w:val="1DBAC296"/>
    <w:lvl w:ilvl="0" w:tplc="64AC7F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4811D7"/>
    <w:multiLevelType w:val="hybridMultilevel"/>
    <w:tmpl w:val="43E64E2A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28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ED46FEB"/>
    <w:multiLevelType w:val="hybridMultilevel"/>
    <w:tmpl w:val="3E220ACC"/>
    <w:lvl w:ilvl="0" w:tplc="281A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5" w15:restartNumberingAfterBreak="0">
    <w:nsid w:val="50977EE0"/>
    <w:multiLevelType w:val="hybridMultilevel"/>
    <w:tmpl w:val="7180B790"/>
    <w:lvl w:ilvl="0" w:tplc="ABF2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562E1"/>
    <w:multiLevelType w:val="multilevel"/>
    <w:tmpl w:val="41386562"/>
    <w:lvl w:ilvl="0">
      <w:start w:val="1"/>
      <w:numFmt w:val="decimal"/>
      <w:lvlText w:val="%1."/>
      <w:lvlJc w:val="left"/>
      <w:pPr>
        <w:ind w:left="2496" w:hanging="360"/>
      </w:pPr>
    </w:lvl>
    <w:lvl w:ilvl="1">
      <w:start w:val="1"/>
      <w:numFmt w:val="decimal"/>
      <w:isLgl/>
      <w:lvlText w:val="%1.%2"/>
      <w:lvlJc w:val="left"/>
      <w:pPr>
        <w:ind w:left="2571" w:hanging="435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2856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85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321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16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57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576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3576" w:hanging="1440"/>
      </w:pPr>
      <w:rPr>
        <w:rFonts w:hint="default"/>
        <w:u w:val="none"/>
      </w:rPr>
    </w:lvl>
  </w:abstractNum>
  <w:abstractNum w:abstractNumId="7" w15:restartNumberingAfterBreak="0">
    <w:nsid w:val="5D0E1DAC"/>
    <w:multiLevelType w:val="hybridMultilevel"/>
    <w:tmpl w:val="055CE0C0"/>
    <w:lvl w:ilvl="0" w:tplc="64AC7F76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 w15:restartNumberingAfterBreak="0">
    <w:nsid w:val="5F422ABD"/>
    <w:multiLevelType w:val="hybridMultilevel"/>
    <w:tmpl w:val="B0D6A7B4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4AC7F7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584B89"/>
    <w:multiLevelType w:val="hybridMultilevel"/>
    <w:tmpl w:val="1A78DCDE"/>
    <w:lvl w:ilvl="0" w:tplc="ABF2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B6885"/>
    <w:multiLevelType w:val="hybridMultilevel"/>
    <w:tmpl w:val="E2268B04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4AC7F7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3B82B9A"/>
    <w:multiLevelType w:val="hybridMultilevel"/>
    <w:tmpl w:val="D4704828"/>
    <w:lvl w:ilvl="0" w:tplc="ABF2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C87C5E"/>
    <w:multiLevelType w:val="hybridMultilevel"/>
    <w:tmpl w:val="020617B2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28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054975"/>
    <w:multiLevelType w:val="hybridMultilevel"/>
    <w:tmpl w:val="AE5A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6E04A5"/>
    <w:multiLevelType w:val="hybridMultilevel"/>
    <w:tmpl w:val="B26A10A2"/>
    <w:lvl w:ilvl="0" w:tplc="AED0F6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931" w:hanging="360"/>
      </w:pPr>
    </w:lvl>
    <w:lvl w:ilvl="2" w:tplc="281A001B" w:tentative="1">
      <w:start w:val="1"/>
      <w:numFmt w:val="lowerRoman"/>
      <w:lvlText w:val="%3."/>
      <w:lvlJc w:val="right"/>
      <w:pPr>
        <w:ind w:left="2651" w:hanging="180"/>
      </w:pPr>
    </w:lvl>
    <w:lvl w:ilvl="3" w:tplc="281A000F" w:tentative="1">
      <w:start w:val="1"/>
      <w:numFmt w:val="decimal"/>
      <w:lvlText w:val="%4."/>
      <w:lvlJc w:val="left"/>
      <w:pPr>
        <w:ind w:left="3371" w:hanging="360"/>
      </w:pPr>
    </w:lvl>
    <w:lvl w:ilvl="4" w:tplc="281A0019" w:tentative="1">
      <w:start w:val="1"/>
      <w:numFmt w:val="lowerLetter"/>
      <w:lvlText w:val="%5."/>
      <w:lvlJc w:val="left"/>
      <w:pPr>
        <w:ind w:left="4091" w:hanging="360"/>
      </w:pPr>
    </w:lvl>
    <w:lvl w:ilvl="5" w:tplc="281A001B" w:tentative="1">
      <w:start w:val="1"/>
      <w:numFmt w:val="lowerRoman"/>
      <w:lvlText w:val="%6."/>
      <w:lvlJc w:val="right"/>
      <w:pPr>
        <w:ind w:left="4811" w:hanging="180"/>
      </w:pPr>
    </w:lvl>
    <w:lvl w:ilvl="6" w:tplc="281A000F" w:tentative="1">
      <w:start w:val="1"/>
      <w:numFmt w:val="decimal"/>
      <w:lvlText w:val="%7."/>
      <w:lvlJc w:val="left"/>
      <w:pPr>
        <w:ind w:left="5531" w:hanging="360"/>
      </w:pPr>
    </w:lvl>
    <w:lvl w:ilvl="7" w:tplc="281A0019" w:tentative="1">
      <w:start w:val="1"/>
      <w:numFmt w:val="lowerLetter"/>
      <w:lvlText w:val="%8."/>
      <w:lvlJc w:val="left"/>
      <w:pPr>
        <w:ind w:left="6251" w:hanging="360"/>
      </w:pPr>
    </w:lvl>
    <w:lvl w:ilvl="8" w:tplc="28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3"/>
  </w:num>
  <w:num w:numId="5">
    <w:abstractNumId w:val="13"/>
  </w:num>
  <w:num w:numId="6">
    <w:abstractNumId w:val="12"/>
  </w:num>
  <w:num w:numId="7">
    <w:abstractNumId w:val="10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5"/>
  </w:num>
  <w:num w:numId="13">
    <w:abstractNumId w:val="9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82"/>
    <w:rsid w:val="00096743"/>
    <w:rsid w:val="00107A64"/>
    <w:rsid w:val="002F0F2A"/>
    <w:rsid w:val="003C76B0"/>
    <w:rsid w:val="004B4B89"/>
    <w:rsid w:val="004D27E2"/>
    <w:rsid w:val="0059318E"/>
    <w:rsid w:val="00781A4B"/>
    <w:rsid w:val="007F4B06"/>
    <w:rsid w:val="008F7082"/>
    <w:rsid w:val="00A56BB5"/>
    <w:rsid w:val="00C4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AE4706-3BEC-4E86-B6A5-2F318B26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0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table" w:styleId="TableGrid">
    <w:name w:val="Table Grid"/>
    <w:basedOn w:val="TableNormal"/>
    <w:uiPriority w:val="59"/>
    <w:rsid w:val="008F7082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F708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70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08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70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08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mail.vojvodina.gov.rs/owa/redir.aspx?REF=Q7-AnNf74viuFoYp111Th81QWyS4AHfOHMQ9J6Tho8HBcysooozYCAFodHRwczovL2luc3Bla3Rvci5nb3YucnMvY21zL2RvY3VtZW50cy8xNjM1NS8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3057</Words>
  <Characters>17428</Characters>
  <Application>Microsoft Office Word</Application>
  <DocSecurity>0</DocSecurity>
  <Lines>145</Lines>
  <Paragraphs>40</Paragraphs>
  <ScaleCrop>false</ScaleCrop>
  <Company>Uprava za zajednicke poslove pokrajinskih organa</Company>
  <LinksUpToDate>false</LinksUpToDate>
  <CharactersWithSpaces>20445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Jovo Milanovic</dc:creator>
  <cp:keywords/>
  <dc:description/>
  <cp:lastModifiedBy>Jovo Milanovic</cp:lastModifiedBy>
  <cp:revision>2</cp:revision>
  <dcterms:created xsi:type="dcterms:W3CDTF">2021-01-04T11:00:00Z</dcterms:created>
  <dcterms:modified xsi:type="dcterms:W3CDTF">2021-01-04T11:00:00Z</dcterms:modified>
</cp:coreProperties>
</file>