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846"/>
        <w:tblW w:w="10170" w:type="dxa"/>
        <w:tblLayout w:type="fixed"/>
        <w:tblLook w:val="00A0" w:firstRow="1" w:lastRow="0" w:firstColumn="1" w:lastColumn="0" w:noHBand="0" w:noVBand="0"/>
      </w:tblPr>
      <w:tblGrid>
        <w:gridCol w:w="2552"/>
        <w:gridCol w:w="2837"/>
        <w:gridCol w:w="4781"/>
      </w:tblGrid>
      <w:tr w:rsidR="00194910" w:rsidRPr="00E443AE" w:rsidTr="00D61A32">
        <w:trPr>
          <w:trHeight w:val="1975"/>
        </w:trPr>
        <w:tc>
          <w:tcPr>
            <w:tcW w:w="2552" w:type="dxa"/>
            <w:vMerge w:val="restart"/>
          </w:tcPr>
          <w:p w:rsidR="00194910" w:rsidRPr="00194910" w:rsidRDefault="00AE7F2E" w:rsidP="00194910">
            <w:pPr>
              <w:tabs>
                <w:tab w:val="center" w:pos="4680"/>
                <w:tab w:val="right" w:pos="10501"/>
              </w:tabs>
              <w:spacing w:after="0" w:line="240" w:lineRule="auto"/>
              <w:ind w:left="-198" w:firstLine="108"/>
              <w:rPr>
                <w:rFonts w:ascii="Verdana" w:eastAsia="Times New Roman" w:hAnsi="Verdana"/>
                <w:color w:val="000000"/>
                <w:sz w:val="24"/>
                <w:szCs w:val="24"/>
                <w:lang w:val="en-US"/>
              </w:rPr>
            </w:pPr>
            <w:r w:rsidRPr="00E443AE">
              <w:rPr>
                <w:rFonts w:ascii="Verdana" w:eastAsia="Times New Roman" w:hAnsi="Verdana"/>
                <w:noProof/>
                <w:color w:val="000000"/>
                <w:sz w:val="24"/>
                <w:szCs w:val="24"/>
                <w:lang w:eastAsia="en-GB"/>
              </w:rPr>
              <w:drawing>
                <wp:inline distT="0" distB="0" distL="0" distR="0">
                  <wp:extent cx="1485900" cy="962025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8" w:type="dxa"/>
            <w:gridSpan w:val="2"/>
          </w:tcPr>
          <w:p w:rsidR="00194910" w:rsidRPr="00194910" w:rsidRDefault="00194910" w:rsidP="0019491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val="ru-RU"/>
              </w:rPr>
            </w:pPr>
            <w:r w:rsidRPr="00194910">
              <w:rPr>
                <w:rFonts w:eastAsia="Times New Roman"/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:rsidR="00194910" w:rsidRPr="00194910" w:rsidRDefault="00194910" w:rsidP="0019491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20"/>
                <w:lang w:val="ru-RU"/>
              </w:rPr>
            </w:pPr>
            <w:r w:rsidRPr="00194910">
              <w:rPr>
                <w:rFonts w:eastAsia="Times New Roman"/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:rsidR="00194910" w:rsidRPr="00194910" w:rsidRDefault="00194910" w:rsidP="00194910">
            <w:pPr>
              <w:spacing w:after="0" w:line="240" w:lineRule="auto"/>
              <w:rPr>
                <w:rFonts w:eastAsia="Times New Roman"/>
                <w:color w:val="000000"/>
                <w:sz w:val="2"/>
                <w:szCs w:val="16"/>
                <w:lang w:val="ru-RU"/>
              </w:rPr>
            </w:pPr>
          </w:p>
          <w:p w:rsidR="00194910" w:rsidRPr="00194910" w:rsidRDefault="00194910" w:rsidP="00194910">
            <w:pPr>
              <w:spacing w:after="0" w:line="240" w:lineRule="auto"/>
              <w:rPr>
                <w:rFonts w:eastAsia="Times New Roman" w:cs="Arial"/>
                <w:b/>
                <w:lang w:val="ru-RU"/>
              </w:rPr>
            </w:pPr>
            <w:r w:rsidRPr="00194910">
              <w:rPr>
                <w:rFonts w:eastAsia="Times New Roman" w:cs="Arial"/>
                <w:b/>
                <w:lang w:val="ru-RU"/>
              </w:rPr>
              <w:t>Покр</w:t>
            </w:r>
            <w:r w:rsidRPr="00194910">
              <w:rPr>
                <w:rFonts w:eastAsia="Times New Roman" w:cs="Arial"/>
                <w:b/>
                <w:lang w:val="en-US"/>
              </w:rPr>
              <w:t>a</w:t>
            </w:r>
            <w:r w:rsidRPr="00194910">
              <w:rPr>
                <w:rFonts w:eastAsia="Times New Roman" w:cs="Arial"/>
                <w:b/>
                <w:lang w:val="ru-RU"/>
              </w:rPr>
              <w:t>јински секрет</w:t>
            </w:r>
            <w:r w:rsidRPr="00194910">
              <w:rPr>
                <w:rFonts w:eastAsia="Times New Roman" w:cs="Arial"/>
                <w:b/>
                <w:lang w:val="en-US"/>
              </w:rPr>
              <w:t>a</w:t>
            </w:r>
            <w:r w:rsidRPr="00194910">
              <w:rPr>
                <w:rFonts w:eastAsia="Times New Roman" w:cs="Arial"/>
                <w:b/>
                <w:lang w:val="ru-RU"/>
              </w:rPr>
              <w:t>риј</w:t>
            </w:r>
            <w:r w:rsidRPr="00194910">
              <w:rPr>
                <w:rFonts w:eastAsia="Times New Roman" w:cs="Arial"/>
                <w:b/>
                <w:lang w:val="en-US"/>
              </w:rPr>
              <w:t>a</w:t>
            </w:r>
            <w:r w:rsidRPr="00194910">
              <w:rPr>
                <w:rFonts w:eastAsia="Times New Roman" w:cs="Arial"/>
                <w:b/>
                <w:lang w:val="ru-RU"/>
              </w:rPr>
              <w:t>т з</w:t>
            </w:r>
            <w:r w:rsidRPr="00194910">
              <w:rPr>
                <w:rFonts w:eastAsia="Times New Roman" w:cs="Arial"/>
                <w:b/>
                <w:lang w:val="en-US"/>
              </w:rPr>
              <w:t>a</w:t>
            </w:r>
            <w:r w:rsidRPr="00194910">
              <w:rPr>
                <w:rFonts w:eastAsia="Times New Roman" w:cs="Arial"/>
                <w:b/>
                <w:lang w:val="ru-RU"/>
              </w:rPr>
              <w:t xml:space="preserve"> енергетику,грађевинарство и саобраћај</w:t>
            </w:r>
          </w:p>
          <w:p w:rsidR="00194910" w:rsidRPr="00194910" w:rsidRDefault="00194910" w:rsidP="00194910">
            <w:pPr>
              <w:spacing w:after="0" w:line="240" w:lineRule="auto"/>
              <w:jc w:val="both"/>
              <w:rPr>
                <w:rFonts w:eastAsia="Times New Roman" w:cs="Arial"/>
                <w:sz w:val="16"/>
                <w:szCs w:val="16"/>
                <w:lang w:val="en-US"/>
              </w:rPr>
            </w:pPr>
            <w:r w:rsidRPr="00194910">
              <w:rPr>
                <w:rFonts w:eastAsia="Times New Roman" w:cs="Arial"/>
                <w:sz w:val="16"/>
                <w:szCs w:val="16"/>
                <w:lang w:val="ru-RU"/>
              </w:rPr>
              <w:t>СЕКТОР ЗА САОБРАЋАЈ И ИНСПЕКЦИЈСКИ НАДЗОР</w:t>
            </w:r>
            <w:r w:rsidRPr="00194910">
              <w:rPr>
                <w:rFonts w:eastAsia="Times New Roman" w:cs="Arial"/>
                <w:sz w:val="16"/>
                <w:szCs w:val="16"/>
                <w:lang w:val="en-US"/>
              </w:rPr>
              <w:t xml:space="preserve">, </w:t>
            </w:r>
            <w:r w:rsidRPr="00194910">
              <w:rPr>
                <w:rFonts w:eastAsia="Times New Roman" w:cs="Arial"/>
                <w:sz w:val="16"/>
                <w:szCs w:val="16"/>
                <w:lang w:val="ru-RU"/>
              </w:rPr>
              <w:t xml:space="preserve">ОДЕЉЕЊЕ ЗА ИНСПЕКЦИЈСКИ НАДЗОР </w:t>
            </w:r>
          </w:p>
          <w:p w:rsidR="00194910" w:rsidRPr="00194910" w:rsidRDefault="00194910" w:rsidP="00194910">
            <w:pPr>
              <w:spacing w:after="0" w:line="240" w:lineRule="auto"/>
              <w:jc w:val="both"/>
              <w:rPr>
                <w:rFonts w:eastAsia="Times New Roman" w:cs="Arial"/>
                <w:sz w:val="16"/>
                <w:szCs w:val="16"/>
                <w:lang w:val="ru-RU"/>
              </w:rPr>
            </w:pPr>
            <w:r w:rsidRPr="00194910">
              <w:rPr>
                <w:rFonts w:eastAsia="Times New Roman" w:cs="Arial"/>
                <w:sz w:val="16"/>
                <w:szCs w:val="16"/>
                <w:lang w:val="ru-RU"/>
              </w:rPr>
              <w:t>Одсек за инспекцијски надзор у грађевинарству, минералним сировинама и на државним путевима</w:t>
            </w:r>
          </w:p>
          <w:p w:rsidR="00194910" w:rsidRPr="00194910" w:rsidRDefault="00194910" w:rsidP="0019491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val="ru-RU"/>
              </w:rPr>
            </w:pPr>
            <w:r w:rsidRPr="00194910">
              <w:rPr>
                <w:rFonts w:eastAsia="Times New Roman"/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194910" w:rsidRPr="00194910" w:rsidRDefault="00194910" w:rsidP="00194910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ru-RU"/>
              </w:rPr>
            </w:pPr>
            <w:r w:rsidRPr="00194910">
              <w:rPr>
                <w:rFonts w:eastAsia="Times New Roman"/>
                <w:color w:val="000000"/>
                <w:sz w:val="16"/>
                <w:szCs w:val="16"/>
                <w:lang w:val="ru-RU"/>
              </w:rPr>
              <w:t xml:space="preserve">Т: </w:t>
            </w:r>
            <w:r w:rsidRPr="00194910">
              <w:rPr>
                <w:rFonts w:eastAsia="Times New Roman"/>
                <w:color w:val="000000"/>
                <w:sz w:val="16"/>
                <w:szCs w:val="16"/>
                <w:lang w:val="sr-Cyrl-CS"/>
              </w:rPr>
              <w:t xml:space="preserve">+381 21 </w:t>
            </w:r>
            <w:r w:rsidRPr="00194910">
              <w:rPr>
                <w:rFonts w:eastAsia="Times New Roman"/>
                <w:color w:val="000000"/>
                <w:sz w:val="16"/>
                <w:szCs w:val="16"/>
                <w:lang w:val="ru-RU"/>
              </w:rPr>
              <w:t xml:space="preserve">487 </w:t>
            </w:r>
            <w:r w:rsidRPr="00194910">
              <w:rPr>
                <w:rFonts w:eastAsia="Times New Roman"/>
                <w:sz w:val="16"/>
                <w:szCs w:val="16"/>
              </w:rPr>
              <w:t xml:space="preserve">4582; </w:t>
            </w:r>
            <w:r w:rsidRPr="00194910">
              <w:rPr>
                <w:rFonts w:eastAsia="Times New Roman"/>
                <w:color w:val="000000"/>
                <w:sz w:val="16"/>
                <w:szCs w:val="16"/>
                <w:lang w:val="en-US"/>
              </w:rPr>
              <w:t>F</w:t>
            </w:r>
            <w:r w:rsidRPr="00194910">
              <w:rPr>
                <w:rFonts w:eastAsia="Times New Roman"/>
                <w:color w:val="000000"/>
                <w:sz w:val="16"/>
                <w:szCs w:val="16"/>
                <w:lang w:val="ru-RU"/>
              </w:rPr>
              <w:t xml:space="preserve">: </w:t>
            </w:r>
            <w:r w:rsidRPr="00194910">
              <w:rPr>
                <w:rFonts w:eastAsia="Times New Roman"/>
                <w:color w:val="000000"/>
                <w:sz w:val="16"/>
                <w:szCs w:val="16"/>
                <w:lang w:val="sr-Cyrl-CS"/>
              </w:rPr>
              <w:t xml:space="preserve">+381 </w:t>
            </w:r>
            <w:r w:rsidRPr="00194910">
              <w:rPr>
                <w:rFonts w:eastAsia="Times New Roman"/>
                <w:color w:val="000000"/>
                <w:sz w:val="16"/>
                <w:szCs w:val="16"/>
                <w:lang w:val="ru-RU"/>
              </w:rPr>
              <w:t>21 456 653; 799</w:t>
            </w:r>
          </w:p>
          <w:p w:rsidR="00194910" w:rsidRPr="00194910" w:rsidRDefault="00194910" w:rsidP="00194910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eastAsia="Times New Roman"/>
                <w:noProof/>
                <w:sz w:val="16"/>
                <w:szCs w:val="16"/>
                <w:lang w:val="en-US"/>
              </w:rPr>
            </w:pPr>
            <w:r w:rsidRPr="00194910">
              <w:rPr>
                <w:rFonts w:eastAsia="Times New Roman"/>
                <w:sz w:val="16"/>
                <w:szCs w:val="16"/>
                <w:lang w:val="sr-Latn-CS"/>
              </w:rPr>
              <w:t xml:space="preserve"> www.</w:t>
            </w:r>
            <w:hyperlink r:id="rId9" w:history="1">
              <w:r w:rsidRPr="00194910">
                <w:rPr>
                  <w:rFonts w:eastAsia="Times New Roman"/>
                  <w:sz w:val="16"/>
                  <w:szCs w:val="16"/>
                  <w:lang w:val="en-US"/>
                </w:rPr>
                <w:t>psegs@vojvodina.gov.rs</w:t>
              </w:r>
            </w:hyperlink>
          </w:p>
        </w:tc>
      </w:tr>
      <w:tr w:rsidR="00194910" w:rsidRPr="00E443AE" w:rsidTr="00D61A32">
        <w:trPr>
          <w:trHeight w:val="323"/>
        </w:trPr>
        <w:tc>
          <w:tcPr>
            <w:tcW w:w="2552" w:type="dxa"/>
            <w:vMerge/>
          </w:tcPr>
          <w:p w:rsidR="00194910" w:rsidRPr="00194910" w:rsidRDefault="00194910" w:rsidP="00194910">
            <w:pPr>
              <w:tabs>
                <w:tab w:val="center" w:pos="4680"/>
                <w:tab w:val="right" w:pos="9360"/>
              </w:tabs>
              <w:spacing w:after="0" w:line="240" w:lineRule="auto"/>
              <w:ind w:left="-198" w:firstLine="108"/>
              <w:rPr>
                <w:rFonts w:ascii="Verdana" w:eastAsia="Times New Roman" w:hAnsi="Verdana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7" w:type="dxa"/>
          </w:tcPr>
          <w:p w:rsidR="00194910" w:rsidRPr="00194910" w:rsidRDefault="00194910" w:rsidP="00194910">
            <w:pPr>
              <w:tabs>
                <w:tab w:val="center" w:pos="4680"/>
                <w:tab w:val="right" w:pos="9360"/>
              </w:tabs>
              <w:spacing w:before="60" w:after="6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9491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БРОЈ: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143-310-415</w:t>
            </w:r>
            <w:r w:rsidRPr="00194910">
              <w:rPr>
                <w:rFonts w:eastAsia="Times New Roman"/>
                <w:color w:val="000000"/>
                <w:sz w:val="20"/>
                <w:szCs w:val="20"/>
              </w:rPr>
              <w:t>/2020-03</w:t>
            </w:r>
          </w:p>
        </w:tc>
        <w:tc>
          <w:tcPr>
            <w:tcW w:w="4781" w:type="dxa"/>
          </w:tcPr>
          <w:p w:rsidR="00194910" w:rsidRPr="00194910" w:rsidRDefault="00194910" w:rsidP="00194910">
            <w:pPr>
              <w:tabs>
                <w:tab w:val="center" w:pos="4680"/>
                <w:tab w:val="right" w:pos="9360"/>
              </w:tabs>
              <w:spacing w:before="60" w:after="60" w:line="240" w:lineRule="auto"/>
              <w:rPr>
                <w:rFonts w:eastAsia="Times New Roman"/>
                <w:color w:val="000000"/>
                <w:sz w:val="20"/>
                <w:szCs w:val="20"/>
                <w:lang w:val="sr-Cyrl-CS"/>
              </w:rPr>
            </w:pPr>
            <w:r w:rsidRPr="0019491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ДАТУМ: </w:t>
            </w:r>
            <w:r w:rsidR="0003285E">
              <w:rPr>
                <w:rFonts w:eastAsia="Times New Roman"/>
                <w:color w:val="000000"/>
                <w:sz w:val="20"/>
                <w:szCs w:val="20"/>
                <w:lang w:val="en-US"/>
              </w:rPr>
              <w:t>26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.11</w:t>
            </w:r>
            <w:r w:rsidRPr="00194910">
              <w:rPr>
                <w:rFonts w:eastAsia="Times New Roman"/>
                <w:color w:val="000000"/>
                <w:sz w:val="20"/>
                <w:szCs w:val="20"/>
                <w:lang w:val="sr-Cyrl-CS"/>
              </w:rPr>
              <w:t>.2020. године</w:t>
            </w:r>
          </w:p>
        </w:tc>
      </w:tr>
    </w:tbl>
    <w:p w:rsidR="008679B9" w:rsidRDefault="008679B9" w:rsidP="008679B9">
      <w:pPr>
        <w:rPr>
          <w:lang w:val="sr-Cyrl-CS"/>
        </w:rPr>
      </w:pPr>
    </w:p>
    <w:p w:rsidR="00194910" w:rsidRPr="004E46B3" w:rsidRDefault="00194910" w:rsidP="008679B9">
      <w:pPr>
        <w:rPr>
          <w:lang w:val="sr-Cyrl-CS"/>
        </w:rPr>
      </w:pPr>
    </w:p>
    <w:p w:rsidR="008679B9" w:rsidRPr="00E443AE" w:rsidRDefault="008679B9" w:rsidP="00B62A3F">
      <w:pPr>
        <w:tabs>
          <w:tab w:val="left" w:pos="9214"/>
        </w:tabs>
        <w:spacing w:after="0" w:line="240" w:lineRule="auto"/>
        <w:ind w:right="4"/>
        <w:jc w:val="center"/>
        <w:rPr>
          <w:rFonts w:eastAsia="Times New Roman" w:cs="Calibri"/>
        </w:rPr>
      </w:pPr>
      <w:r w:rsidRPr="00E443AE">
        <w:rPr>
          <w:rFonts w:eastAsia="Times New Roman" w:cs="Calibri"/>
          <w:b/>
        </w:rPr>
        <w:t>ГОДИШЊИ ПЛАН ИНСПЕКЦИЈСКОГ НАДЗОРА</w:t>
      </w:r>
      <w:r w:rsidR="00E80BC4">
        <w:rPr>
          <w:rFonts w:eastAsia="Times New Roman" w:cs="Calibri"/>
          <w:b/>
        </w:rPr>
        <w:t xml:space="preserve"> </w:t>
      </w:r>
      <w:bookmarkStart w:id="0" w:name="_GoBack"/>
      <w:bookmarkEnd w:id="0"/>
      <w:r w:rsidRPr="00E443AE">
        <w:rPr>
          <w:rFonts w:eastAsia="Times New Roman" w:cs="Calibri"/>
          <w:b/>
          <w:lang w:val="sr-Cyrl-CS"/>
        </w:rPr>
        <w:t xml:space="preserve">ГЕОЛОШКЕ </w:t>
      </w:r>
      <w:r w:rsidRPr="00E443AE">
        <w:rPr>
          <w:rFonts w:eastAsia="Times New Roman" w:cs="Calibri"/>
          <w:b/>
        </w:rPr>
        <w:t xml:space="preserve">ИНСПЕКЦИЈЕ </w:t>
      </w:r>
    </w:p>
    <w:p w:rsidR="008679B9" w:rsidRPr="00E443AE" w:rsidRDefault="008679B9" w:rsidP="008679B9">
      <w:pPr>
        <w:tabs>
          <w:tab w:val="left" w:pos="9214"/>
        </w:tabs>
        <w:spacing w:after="0" w:line="240" w:lineRule="auto"/>
        <w:ind w:right="4"/>
        <w:jc w:val="center"/>
        <w:rPr>
          <w:rFonts w:eastAsia="Times New Roman" w:cs="Calibri"/>
        </w:rPr>
      </w:pPr>
      <w:r w:rsidRPr="00E443AE">
        <w:rPr>
          <w:rFonts w:eastAsia="Times New Roman" w:cs="Calibri"/>
          <w:b/>
        </w:rPr>
        <w:t>У 2021. ГОДИНИ</w:t>
      </w:r>
    </w:p>
    <w:p w:rsidR="008679B9" w:rsidRPr="00E443AE" w:rsidRDefault="008679B9" w:rsidP="00867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 w:cs="Calibri"/>
          <w:color w:val="000000"/>
        </w:rPr>
      </w:pPr>
    </w:p>
    <w:p w:rsidR="008679B9" w:rsidRPr="00E443AE" w:rsidRDefault="008679B9" w:rsidP="00867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 w:cs="Calibri"/>
          <w:color w:val="000000"/>
        </w:rPr>
      </w:pPr>
    </w:p>
    <w:p w:rsidR="008679B9" w:rsidRPr="00E443AE" w:rsidRDefault="008679B9" w:rsidP="00867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 w:cs="Calibri"/>
          <w:color w:val="000000"/>
        </w:rPr>
      </w:pPr>
      <w:r w:rsidRPr="00E443AE">
        <w:rPr>
          <w:rFonts w:eastAsia="Times New Roman" w:cs="Calibri"/>
          <w:b/>
          <w:color w:val="000000"/>
        </w:rPr>
        <w:t>Увод</w:t>
      </w:r>
    </w:p>
    <w:p w:rsidR="008679B9" w:rsidRPr="00E443AE" w:rsidRDefault="008679B9" w:rsidP="008679B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 w:cs="Calibri"/>
          <w:color w:val="000000"/>
        </w:rPr>
      </w:pPr>
    </w:p>
    <w:p w:rsidR="008679B9" w:rsidRPr="00E443AE" w:rsidRDefault="008679B9" w:rsidP="008679B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="Calibri"/>
          <w:color w:val="000000"/>
        </w:rPr>
      </w:pPr>
      <w:r w:rsidRPr="00E443AE">
        <w:rPr>
          <w:rFonts w:eastAsia="Times New Roman" w:cs="Calibri"/>
          <w:color w:val="000000"/>
        </w:rPr>
        <w:t xml:space="preserve">Документ садржи годишњи план инспекцијског надзора </w:t>
      </w:r>
      <w:r w:rsidRPr="00E443AE">
        <w:rPr>
          <w:rFonts w:eastAsia="Times New Roman" w:cs="Calibri"/>
          <w:color w:val="000000"/>
          <w:lang w:val="sr-Cyrl-CS"/>
        </w:rPr>
        <w:t>геолошке</w:t>
      </w:r>
      <w:r w:rsidR="00385AB6" w:rsidRPr="00E443AE">
        <w:rPr>
          <w:rFonts w:eastAsia="Times New Roman" w:cs="Calibri"/>
          <w:color w:val="000000"/>
        </w:rPr>
        <w:t>инспекције</w:t>
      </w:r>
      <w:r w:rsidRPr="00E443AE">
        <w:rPr>
          <w:rFonts w:eastAsia="Times New Roman" w:cs="Calibri"/>
          <w:color w:val="000000"/>
        </w:rPr>
        <w:t xml:space="preserve">, у спровођењу инспекцијског надзора на подручјима </w:t>
      </w:r>
      <w:r w:rsidR="00460A06" w:rsidRPr="00E443AE">
        <w:rPr>
          <w:rFonts w:eastAsia="Times New Roman" w:cs="Calibri"/>
          <w:lang w:val="sr-Cyrl-CS"/>
        </w:rPr>
        <w:t>при</w:t>
      </w:r>
      <w:r w:rsidR="00981CCC" w:rsidRPr="00E443AE">
        <w:rPr>
          <w:rFonts w:eastAsia="Times New Roman" w:cs="Calibri"/>
          <w:lang w:val="sr-Cyrl-CS"/>
        </w:rPr>
        <w:t xml:space="preserve">мењених геолошких истраживања </w:t>
      </w:r>
      <w:r w:rsidR="007E128E" w:rsidRPr="00E443AE">
        <w:rPr>
          <w:rFonts w:eastAsia="Times New Roman" w:cs="Calibri"/>
          <w:lang w:val="sr-Cyrl-CS"/>
        </w:rPr>
        <w:t>минералних сировина</w:t>
      </w:r>
      <w:r w:rsidRPr="00E443AE">
        <w:rPr>
          <w:rFonts w:eastAsia="Times New Roman" w:cs="Calibri"/>
        </w:rPr>
        <w:t>за к</w:t>
      </w:r>
      <w:r w:rsidRPr="00E443AE">
        <w:rPr>
          <w:rFonts w:eastAsia="Times New Roman" w:cs="Calibri"/>
          <w:color w:val="000000"/>
        </w:rPr>
        <w:t xml:space="preserve">оје </w:t>
      </w:r>
      <w:r w:rsidR="002331D5" w:rsidRPr="00E443AE">
        <w:rPr>
          <w:rFonts w:eastAsia="Times New Roman" w:cs="Calibri"/>
          <w:color w:val="000000"/>
          <w:lang w:val="sr-Cyrl-CS"/>
        </w:rPr>
        <w:t xml:space="preserve">одобрење </w:t>
      </w:r>
      <w:r w:rsidR="004F291F" w:rsidRPr="00E443AE">
        <w:rPr>
          <w:rFonts w:eastAsia="Times New Roman" w:cs="Calibri"/>
          <w:color w:val="000000"/>
          <w:lang w:val="sr-Cyrl-CS"/>
        </w:rPr>
        <w:t>издај</w:t>
      </w:r>
      <w:r w:rsidR="004F291F" w:rsidRPr="00E443AE">
        <w:rPr>
          <w:rFonts w:eastAsia="Times New Roman" w:cs="Calibri"/>
          <w:color w:val="000000"/>
        </w:rPr>
        <w:t>у</w:t>
      </w:r>
      <w:r w:rsidR="002331D5" w:rsidRPr="00E443AE">
        <w:rPr>
          <w:rFonts w:eastAsia="Times New Roman" w:cs="Calibri"/>
          <w:color w:val="000000"/>
        </w:rPr>
        <w:t xml:space="preserve">Министарство рударства и енергетике </w:t>
      </w:r>
      <w:r w:rsidR="00981CCC" w:rsidRPr="00E443AE">
        <w:rPr>
          <w:rFonts w:eastAsia="Times New Roman" w:cs="Calibri"/>
          <w:color w:val="000000"/>
        </w:rPr>
        <w:t>и Покрајински секретаријат за енергетику, грађевинарство и саобраћај</w:t>
      </w:r>
      <w:r w:rsidR="002331D5" w:rsidRPr="00E443AE">
        <w:rPr>
          <w:rFonts w:eastAsia="Times New Roman" w:cs="Calibri"/>
          <w:color w:val="000000"/>
        </w:rPr>
        <w:t>за</w:t>
      </w:r>
      <w:r w:rsidR="007E128E" w:rsidRPr="00E443AE">
        <w:rPr>
          <w:rFonts w:eastAsia="Times New Roman" w:cs="Calibri"/>
          <w:color w:val="000000"/>
          <w:lang w:val="sr-Cyrl-CS"/>
        </w:rPr>
        <w:t xml:space="preserve"> календарску</w:t>
      </w:r>
      <w:r w:rsidR="002331D5" w:rsidRPr="00E443AE">
        <w:rPr>
          <w:rFonts w:eastAsia="Times New Roman" w:cs="Calibri"/>
          <w:color w:val="000000"/>
        </w:rPr>
        <w:t xml:space="preserve"> 2021</w:t>
      </w:r>
      <w:r w:rsidRPr="00E443AE">
        <w:rPr>
          <w:rFonts w:eastAsia="Times New Roman" w:cs="Calibri"/>
          <w:color w:val="000000"/>
        </w:rPr>
        <w:t xml:space="preserve">. годину. </w:t>
      </w:r>
    </w:p>
    <w:p w:rsidR="008679B9" w:rsidRPr="00E443AE" w:rsidRDefault="008679B9" w:rsidP="008679B9">
      <w:pPr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 xml:space="preserve">План је донет на основу чл.8. ст. 1 Закона о инспекцијском надзору који прописује да се на основу утврђеног стања и процене ризика инспекција припрема план инспекцијског надзора. </w:t>
      </w:r>
    </w:p>
    <w:p w:rsidR="00385AB6" w:rsidRPr="00E443AE" w:rsidRDefault="00385AB6" w:rsidP="008679B9">
      <w:pPr>
        <w:jc w:val="both"/>
        <w:rPr>
          <w:rFonts w:eastAsia="Times New Roman" w:cs="Calibri"/>
        </w:rPr>
      </w:pPr>
    </w:p>
    <w:p w:rsidR="00385AB6" w:rsidRPr="00E443AE" w:rsidRDefault="002331D5" w:rsidP="00E56033">
      <w:pPr>
        <w:numPr>
          <w:ilvl w:val="0"/>
          <w:numId w:val="1"/>
        </w:numPr>
        <w:shd w:val="clear" w:color="auto" w:fill="FFFFFF"/>
        <w:spacing w:after="200" w:line="276" w:lineRule="auto"/>
        <w:jc w:val="center"/>
        <w:rPr>
          <w:rFonts w:cs="Calibri"/>
        </w:rPr>
      </w:pPr>
      <w:r w:rsidRPr="00E443AE">
        <w:rPr>
          <w:rFonts w:eastAsia="Times New Roman" w:cs="Calibri"/>
          <w:b/>
        </w:rPr>
        <w:t>ИНФОРМАЦИЈА О ИНСПЕКЦИЈИ</w:t>
      </w:r>
    </w:p>
    <w:p w:rsidR="00385AB6" w:rsidRPr="00E443AE" w:rsidRDefault="002331D5" w:rsidP="005151CF">
      <w:pPr>
        <w:numPr>
          <w:ilvl w:val="1"/>
          <w:numId w:val="1"/>
        </w:numPr>
        <w:shd w:val="clear" w:color="auto" w:fill="FFFFFF"/>
        <w:spacing w:after="200" w:line="276" w:lineRule="auto"/>
        <w:jc w:val="center"/>
        <w:rPr>
          <w:rFonts w:eastAsia="Times New Roman" w:cs="Calibri"/>
        </w:rPr>
      </w:pPr>
      <w:r w:rsidRPr="00E443AE">
        <w:rPr>
          <w:rFonts w:eastAsia="Times New Roman" w:cs="Calibri"/>
          <w:b/>
        </w:rPr>
        <w:t>Послови које обавља инспекција у оквиру својих изворних надлежности</w:t>
      </w:r>
    </w:p>
    <w:p w:rsidR="002B6DFD" w:rsidRPr="00E443AE" w:rsidRDefault="002B6DFD" w:rsidP="002B6DFD">
      <w:pPr>
        <w:shd w:val="clear" w:color="auto" w:fill="FFFFFF"/>
        <w:spacing w:after="0"/>
        <w:jc w:val="both"/>
        <w:rPr>
          <w:rFonts w:eastAsia="Times New Roman" w:cs="Calibri"/>
          <w:b/>
        </w:rPr>
      </w:pPr>
      <w:r w:rsidRPr="00E443AE">
        <w:rPr>
          <w:rFonts w:eastAsia="Times New Roman" w:cs="Calibri"/>
          <w:b/>
        </w:rPr>
        <w:t>Закон о рударству и геолошким истраживањима</w:t>
      </w:r>
    </w:p>
    <w:p w:rsidR="00385AB6" w:rsidRPr="00E443AE" w:rsidRDefault="00385AB6" w:rsidP="002B6DFD">
      <w:pPr>
        <w:shd w:val="clear" w:color="auto" w:fill="FFFFFF"/>
        <w:spacing w:after="0"/>
        <w:jc w:val="both"/>
        <w:rPr>
          <w:rFonts w:eastAsia="Times New Roman" w:cs="Calibri"/>
        </w:rPr>
      </w:pPr>
    </w:p>
    <w:p w:rsidR="002B6DFD" w:rsidRPr="00E443AE" w:rsidRDefault="002B6DFD" w:rsidP="002B6DFD">
      <w:pPr>
        <w:shd w:val="clear" w:color="auto" w:fill="FFFFFF"/>
        <w:spacing w:after="0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 xml:space="preserve">Инспекцијски надзор врши надлежно министарство преко инспектора у оквиру делокруга утврђеног законом. </w:t>
      </w:r>
      <w:r w:rsidRPr="00E443AE">
        <w:rPr>
          <w:rFonts w:cs="Calibri"/>
        </w:rPr>
        <w:t>Аутономној покрајини Војводини су Законом о утврђивању надлежности Аутономне Покрајине Војводине (''Сл. Гласник РС'' бр 99/2009 и 67/2012 ) поверени послови инспекцијског надзора у области геолошких истраживања минералних и других геолошких ресурса</w:t>
      </w:r>
      <w:r w:rsidRPr="00E443AE">
        <w:rPr>
          <w:rFonts w:eastAsia="Times New Roman" w:cs="Calibri"/>
        </w:rPr>
        <w:t>.</w:t>
      </w:r>
    </w:p>
    <w:p w:rsidR="00385AB6" w:rsidRPr="00E443AE" w:rsidRDefault="00385AB6" w:rsidP="002B6DFD">
      <w:pPr>
        <w:shd w:val="clear" w:color="auto" w:fill="FFFFFF"/>
        <w:spacing w:after="0"/>
        <w:jc w:val="both"/>
        <w:rPr>
          <w:rFonts w:eastAsia="Times New Roman" w:cs="Calibri"/>
        </w:rPr>
      </w:pPr>
    </w:p>
    <w:p w:rsidR="002B6DFD" w:rsidRPr="00E443AE" w:rsidRDefault="002B6DFD" w:rsidP="002B6DFD">
      <w:pPr>
        <w:shd w:val="clear" w:color="auto" w:fill="FFFFFF"/>
        <w:spacing w:after="0"/>
        <w:jc w:val="both"/>
        <w:rPr>
          <w:rFonts w:eastAsia="Times New Roman" w:cs="Calibri"/>
          <w:lang w:val="sr-Cyrl-CS"/>
        </w:rPr>
      </w:pPr>
      <w:r w:rsidRPr="00E443AE">
        <w:rPr>
          <w:rFonts w:eastAsia="Times New Roman" w:cs="Calibri"/>
        </w:rPr>
        <w:t xml:space="preserve">Послови инспекцијског надзора </w:t>
      </w:r>
      <w:r w:rsidR="00BA44BD" w:rsidRPr="00E443AE">
        <w:rPr>
          <w:rFonts w:eastAsia="Times New Roman" w:cs="Calibri"/>
        </w:rPr>
        <w:t>покрајинске</w:t>
      </w:r>
      <w:r w:rsidR="009B2C00" w:rsidRPr="00E443AE">
        <w:rPr>
          <w:rFonts w:eastAsia="Times New Roman" w:cs="Calibri"/>
          <w:lang w:val="sr-Cyrl-CS"/>
        </w:rPr>
        <w:t xml:space="preserve"> геол</w:t>
      </w:r>
      <w:r w:rsidR="00BA44BD" w:rsidRPr="00E443AE">
        <w:rPr>
          <w:rFonts w:eastAsia="Times New Roman" w:cs="Calibri"/>
          <w:lang w:val="sr-Cyrl-CS"/>
        </w:rPr>
        <w:t xml:space="preserve">ошке </w:t>
      </w:r>
      <w:r w:rsidRPr="00E443AE">
        <w:rPr>
          <w:rFonts w:eastAsia="Times New Roman" w:cs="Calibri"/>
        </w:rPr>
        <w:t xml:space="preserve">инспекције </w:t>
      </w:r>
      <w:r w:rsidR="0084740A" w:rsidRPr="00E443AE">
        <w:rPr>
          <w:rFonts w:eastAsia="Times New Roman" w:cs="Calibri"/>
        </w:rPr>
        <w:t xml:space="preserve">над спровођењем одредаба Закона </w:t>
      </w:r>
      <w:r w:rsidR="0084740A" w:rsidRPr="00E443AE">
        <w:rPr>
          <w:rFonts w:eastAsia="Times New Roman" w:cs="Calibri"/>
          <w:lang w:val="sr-Cyrl-CS"/>
        </w:rPr>
        <w:t>о рударству и геолошким истраживањима</w:t>
      </w:r>
      <w:r w:rsidR="0084740A" w:rsidRPr="00E443AE">
        <w:rPr>
          <w:rFonts w:eastAsia="Times New Roman" w:cs="Calibri"/>
        </w:rPr>
        <w:t xml:space="preserve"> обухватају вршење надзора</w:t>
      </w:r>
      <w:r w:rsidR="0084740A" w:rsidRPr="00E443AE">
        <w:rPr>
          <w:rFonts w:eastAsia="Times New Roman" w:cs="Calibri"/>
          <w:lang w:val="sr-Cyrl-CS"/>
        </w:rPr>
        <w:t>:</w:t>
      </w:r>
    </w:p>
    <w:p w:rsidR="0084740A" w:rsidRPr="00E443AE" w:rsidRDefault="0084740A" w:rsidP="002B6DFD">
      <w:pPr>
        <w:shd w:val="clear" w:color="auto" w:fill="FFFFFF"/>
        <w:spacing w:after="0"/>
        <w:jc w:val="both"/>
        <w:rPr>
          <w:rFonts w:eastAsia="Times New Roman" w:cs="Calibri"/>
          <w:lang w:val="sr-Cyrl-CS"/>
        </w:rPr>
      </w:pPr>
    </w:p>
    <w:p w:rsidR="0084740A" w:rsidRPr="00E443AE" w:rsidRDefault="0084740A" w:rsidP="0084740A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Fonts w:eastAsia="Times New Roman" w:cs="Calibri"/>
          <w:b/>
          <w:lang w:val="sr-Cyrl-CS"/>
        </w:rPr>
      </w:pPr>
      <w:r w:rsidRPr="00E443AE">
        <w:rPr>
          <w:rFonts w:eastAsia="Times New Roman" w:cs="Calibri"/>
          <w:b/>
          <w:lang w:val="sr-Cyrl-CS"/>
        </w:rPr>
        <w:t>у области геолошког истраживања</w:t>
      </w:r>
    </w:p>
    <w:p w:rsidR="00385AB6" w:rsidRPr="00E443AE" w:rsidRDefault="00385AB6" w:rsidP="00385AB6">
      <w:pPr>
        <w:pStyle w:val="ListParagraph"/>
        <w:shd w:val="clear" w:color="auto" w:fill="FFFFFF"/>
        <w:spacing w:after="0"/>
        <w:jc w:val="both"/>
        <w:rPr>
          <w:rFonts w:eastAsia="Times New Roman" w:cs="Calibri"/>
          <w:b/>
          <w:lang w:val="sr-Cyrl-CS"/>
        </w:rPr>
      </w:pP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1) обављање делатности геолошких истраживања и извођења геолошких истражних радова врши према прописаним условима;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2) пројекат и завршни извештај о резултатима геолошких истраживања израђује у складу са законом и другим прописима и да ли је техничка контрола извршена од стране овлашћеног привредног субјекта који је уписан у судски регистар;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3) годишњи извештај о резултатима геолошких истраживања израђује и оверава на прописан начин;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4) геолошка истраживања, врше на основу и у складу са одобрењем за истраживање;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5) пријављују геолошка истраживања и геолошки истражни радови надлежном органу;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6) геолошки истражни радови изводе према пројекту геолошких истраживања на основу кога је издато одобрење за истраживање;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lastRenderedPageBreak/>
        <w:t>7) инжењерско-геолошки и хидрогеолошки радови изводе према пројекту геолошких истраживања и одобрења надлежног органа;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8) извођење геолошких истражних радова врши у складу са законом и другим прописима;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9) предузимају мере безбедности лица, суседних објеката, саобраћаја и околине, као и све потребне мере безбедности и здравља на раду од стране привредног субјекта који изводи геолошка истраживања;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10) води прописана евиденција о узетим количинама минералних сировина ради њиховог испитивања и о другим минералним ресурсима чије је постојање утврђено у току геолошких истраживања;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11) врши складиштење и чување језгра истражних бушотина;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12) обезбеђује стручни надзор у току геолошких истраживања и експлоатације;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13) примењују прописани услови по питању испуњавања услова школске спреме и овлашћења за обављање тих послова за лица која руководе извођењем истражних радова и која врше стручни надзор над извођењем тих радова;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14) узима већа количина минералних сировина за испитивање од количине одређене одобрењем за истраживање;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15) узима минерална сировина (за различите намене) без одобрења за истраживање;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16) води књига о стању резерви минералних сировина и геотермалних ресурса;</w:t>
      </w:r>
    </w:p>
    <w:p w:rsidR="0084740A" w:rsidRPr="00E443AE" w:rsidRDefault="0084740A" w:rsidP="00BD599F">
      <w:pPr>
        <w:spacing w:after="120"/>
        <w:jc w:val="both"/>
        <w:rPr>
          <w:rFonts w:cs="Calibri"/>
        </w:rPr>
      </w:pPr>
      <w:r w:rsidRPr="00E443AE">
        <w:rPr>
          <w:rFonts w:cs="Calibri"/>
        </w:rPr>
        <w:t>17) израђује геолошка техничка документација о свим радовима на експлоатацији.</w:t>
      </w:r>
    </w:p>
    <w:p w:rsidR="0084740A" w:rsidRPr="00E443AE" w:rsidRDefault="0084740A" w:rsidP="00BD599F">
      <w:pPr>
        <w:spacing w:after="0"/>
        <w:jc w:val="both"/>
        <w:rPr>
          <w:rFonts w:cs="Calibri"/>
        </w:rPr>
      </w:pPr>
    </w:p>
    <w:p w:rsidR="0084740A" w:rsidRPr="00E443AE" w:rsidRDefault="00BD599F" w:rsidP="00BD599F">
      <w:pPr>
        <w:pStyle w:val="ListParagraph"/>
        <w:numPr>
          <w:ilvl w:val="0"/>
          <w:numId w:val="2"/>
        </w:numPr>
        <w:spacing w:after="0"/>
        <w:jc w:val="both"/>
        <w:rPr>
          <w:rFonts w:cs="Calibri"/>
          <w:b/>
          <w:lang w:val="sr-Cyrl-CS"/>
        </w:rPr>
      </w:pPr>
      <w:r w:rsidRPr="00E443AE">
        <w:rPr>
          <w:rFonts w:cs="Calibri"/>
          <w:b/>
          <w:lang w:val="sr-Cyrl-CS"/>
        </w:rPr>
        <w:t xml:space="preserve">у складу са применом одредби </w:t>
      </w:r>
      <w:r w:rsidR="0084740A" w:rsidRPr="00E443AE">
        <w:rPr>
          <w:rFonts w:cs="Calibri"/>
          <w:b/>
          <w:lang w:val="sr-Cyrl-CS"/>
        </w:rPr>
        <w:t>Закон</w:t>
      </w:r>
      <w:r w:rsidRPr="00E443AE">
        <w:rPr>
          <w:rFonts w:cs="Calibri"/>
          <w:b/>
          <w:lang w:val="sr-Cyrl-CS"/>
        </w:rPr>
        <w:t>а</w:t>
      </w:r>
      <w:r w:rsidR="0084740A" w:rsidRPr="00E443AE">
        <w:rPr>
          <w:rFonts w:cs="Calibri"/>
          <w:b/>
          <w:lang w:val="sr-Cyrl-CS"/>
        </w:rPr>
        <w:t xml:space="preserve"> о безбедности и здрављу на раду</w:t>
      </w:r>
    </w:p>
    <w:p w:rsidR="00385AB6" w:rsidRPr="00E443AE" w:rsidRDefault="00385AB6" w:rsidP="00385AB6">
      <w:pPr>
        <w:pStyle w:val="ListParagraph"/>
        <w:spacing w:after="0"/>
        <w:jc w:val="both"/>
        <w:rPr>
          <w:rFonts w:cs="Calibri"/>
          <w:b/>
          <w:lang w:val="sr-Cyrl-CS"/>
        </w:rPr>
      </w:pPr>
    </w:p>
    <w:p w:rsidR="0084740A" w:rsidRPr="00E443AE" w:rsidRDefault="0084740A" w:rsidP="00BD599F">
      <w:pPr>
        <w:spacing w:after="0"/>
        <w:jc w:val="both"/>
        <w:rPr>
          <w:rFonts w:cs="Calibri"/>
        </w:rPr>
      </w:pPr>
      <w:r w:rsidRPr="00E443AE">
        <w:rPr>
          <w:rFonts w:cs="Calibri"/>
          <w:lang w:val="sr-Cyrl-CS"/>
        </w:rPr>
        <w:t xml:space="preserve">Одредбама члана 174. Закона о рударству и геолошким истраживањима </w:t>
      </w:r>
      <w:r w:rsidRPr="00E443AE">
        <w:rPr>
          <w:rFonts w:cs="Calibri"/>
        </w:rPr>
        <w:t>у вршењу надзора над применом мера безбедности и здравља на раду у рударским објектима, геолошки и рударски инспектор има у свему овлашћења и дужности инспектора рада, предвиђене прописима о безбедности и здрављу на раду</w:t>
      </w:r>
    </w:p>
    <w:p w:rsidR="00385AB6" w:rsidRPr="00E443AE" w:rsidRDefault="00385AB6" w:rsidP="00BD599F">
      <w:pPr>
        <w:spacing w:after="0"/>
        <w:jc w:val="both"/>
        <w:rPr>
          <w:rFonts w:cs="Calibri"/>
          <w:lang w:val="sr-Cyrl-CS"/>
        </w:rPr>
      </w:pPr>
    </w:p>
    <w:p w:rsidR="0084740A" w:rsidRPr="00E443AE" w:rsidRDefault="0084740A" w:rsidP="00BD599F">
      <w:pPr>
        <w:spacing w:after="0"/>
        <w:jc w:val="both"/>
        <w:rPr>
          <w:rFonts w:cs="Calibri"/>
          <w:lang w:val="sr-Cyrl-CS"/>
        </w:rPr>
      </w:pPr>
      <w:r w:rsidRPr="00E443AE">
        <w:rPr>
          <w:rFonts w:cs="Calibri"/>
        </w:rPr>
        <w:t xml:space="preserve">Послови инспекцијског надзора </w:t>
      </w:r>
      <w:r w:rsidR="00BA44BD" w:rsidRPr="00E443AE">
        <w:rPr>
          <w:rFonts w:cs="Calibri"/>
        </w:rPr>
        <w:t xml:space="preserve">покрајинске </w:t>
      </w:r>
      <w:r w:rsidRPr="00E443AE">
        <w:rPr>
          <w:rFonts w:cs="Calibri"/>
          <w:lang w:val="sr-Cyrl-CS"/>
        </w:rPr>
        <w:t xml:space="preserve">геоллошке </w:t>
      </w:r>
      <w:r w:rsidRPr="00E443AE">
        <w:rPr>
          <w:rFonts w:cs="Calibri"/>
        </w:rPr>
        <w:t xml:space="preserve">инспекције над спровођењем одредаба Закона </w:t>
      </w:r>
      <w:r w:rsidR="00987545" w:rsidRPr="00E443AE">
        <w:rPr>
          <w:rFonts w:cs="Calibri"/>
          <w:lang w:val="sr-Cyrl-CS"/>
        </w:rPr>
        <w:t>о безбедности и здрављу на раду</w:t>
      </w:r>
      <w:r w:rsidRPr="00E443AE">
        <w:rPr>
          <w:rFonts w:cs="Calibri"/>
        </w:rPr>
        <w:t xml:space="preserve"> обухватају вршење надзора</w:t>
      </w:r>
      <w:r w:rsidRPr="00E443AE">
        <w:rPr>
          <w:rFonts w:cs="Calibri"/>
          <w:lang w:val="sr-Cyrl-CS"/>
        </w:rPr>
        <w:t>:</w:t>
      </w:r>
    </w:p>
    <w:p w:rsidR="00385AB6" w:rsidRPr="00E443AE" w:rsidRDefault="00385AB6" w:rsidP="00BD599F">
      <w:pPr>
        <w:spacing w:after="0"/>
        <w:jc w:val="both"/>
        <w:rPr>
          <w:rFonts w:cs="Calibri"/>
          <w:lang w:val="sr-Cyrl-CS"/>
        </w:rPr>
      </w:pPr>
    </w:p>
    <w:p w:rsidR="00987545" w:rsidRPr="00E443AE" w:rsidRDefault="00987545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1) прегледа опште и појединачне акте, евиденције и другу документацију;</w:t>
      </w:r>
    </w:p>
    <w:p w:rsidR="00987545" w:rsidRPr="00E443AE" w:rsidRDefault="00987545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2) саслуша и узима изјаве од одговорних и заинтересованих лица;</w:t>
      </w:r>
    </w:p>
    <w:p w:rsidR="00987545" w:rsidRPr="00E443AE" w:rsidRDefault="00987545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3) прегледа пословне просторије, објекте, постројења, уређаје, средства и опрему за личну заштиту, предмете и робу и сл.;</w:t>
      </w:r>
    </w:p>
    <w:p w:rsidR="00987545" w:rsidRPr="00E443AE" w:rsidRDefault="00987545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4) узима узорке ради анализе, експертиза и сл.;</w:t>
      </w:r>
    </w:p>
    <w:p w:rsidR="00987545" w:rsidRPr="00E443AE" w:rsidRDefault="00987545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5) наређује мерења која обавља друга стручна организација кад послодавац самостално или преко одређене стручне организације врши мерења у одговарајућим областима, а резултати извршеног мерења пружају основ за то;</w:t>
      </w:r>
    </w:p>
    <w:p w:rsidR="00987545" w:rsidRPr="00E443AE" w:rsidRDefault="00987545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6) послодавцима, запосленим, њиховим представницима и синдикату даје обавештења и савете у области безбедности и здравља на раду, као и о мерама чијом применом се обезбеђује извршавање овог закона на најефикаснији начин;</w:t>
      </w:r>
    </w:p>
    <w:p w:rsidR="00987545" w:rsidRPr="00E443AE" w:rsidRDefault="00987545" w:rsidP="00BD599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7) у складу са поднетим захтевом, послодавца и запосленог или представника запослених обавести о извршеном инспекцијском надзору и утврђеном стању;</w:t>
      </w:r>
    </w:p>
    <w:p w:rsidR="00987545" w:rsidRPr="00E443AE" w:rsidRDefault="00987545" w:rsidP="005151CF">
      <w:pPr>
        <w:spacing w:after="0"/>
        <w:jc w:val="both"/>
        <w:rPr>
          <w:rFonts w:cs="Calibri"/>
        </w:rPr>
      </w:pPr>
      <w:r w:rsidRPr="00E443AE">
        <w:rPr>
          <w:rFonts w:cs="Calibri"/>
        </w:rPr>
        <w:t>8) предузима друге радње за ко</w:t>
      </w:r>
      <w:r w:rsidR="005151CF" w:rsidRPr="00E443AE">
        <w:rPr>
          <w:rFonts w:cs="Calibri"/>
        </w:rPr>
        <w:t>је је овлашћен другим прописом.</w:t>
      </w:r>
    </w:p>
    <w:p w:rsidR="00B62A3F" w:rsidRPr="00E443AE" w:rsidRDefault="00B62A3F" w:rsidP="005151CF">
      <w:pPr>
        <w:spacing w:after="0"/>
        <w:jc w:val="both"/>
        <w:rPr>
          <w:rFonts w:cs="Calibri"/>
        </w:rPr>
      </w:pPr>
    </w:p>
    <w:p w:rsidR="003E7F62" w:rsidRPr="00E443AE" w:rsidRDefault="00987545" w:rsidP="00B62A3F">
      <w:pPr>
        <w:pStyle w:val="ListParagraph"/>
        <w:numPr>
          <w:ilvl w:val="1"/>
          <w:numId w:val="1"/>
        </w:numPr>
        <w:jc w:val="center"/>
        <w:rPr>
          <w:rFonts w:eastAsia="Times New Roman" w:cs="Calibri"/>
        </w:rPr>
      </w:pPr>
      <w:r w:rsidRPr="00E443AE">
        <w:rPr>
          <w:rFonts w:eastAsia="Times New Roman" w:cs="Calibri"/>
          <w:b/>
          <w:color w:val="333333"/>
        </w:rPr>
        <w:t xml:space="preserve">Списак докумената јавних политика и докумената развојног планирања у складу са којим се предузимају активности из плана </w:t>
      </w:r>
    </w:p>
    <w:p w:rsidR="00987545" w:rsidRPr="00E443AE" w:rsidRDefault="00987545" w:rsidP="00BD599F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</w:rPr>
      </w:pPr>
      <w:r w:rsidRPr="00E443AE">
        <w:rPr>
          <w:rFonts w:eastAsia="MS Mincho" w:cs="Calibri"/>
        </w:rPr>
        <w:lastRenderedPageBreak/>
        <w:t xml:space="preserve">Закон о рударству и геолошким истраживањима </w:t>
      </w:r>
      <w:r w:rsidR="00205347" w:rsidRPr="00E443AE">
        <w:rPr>
          <w:rFonts w:eastAsia="MS Mincho" w:cs="Calibri"/>
          <w:iCs/>
        </w:rPr>
        <w:t>("Сл. гласник РС", бр. 101/2015 и 95/2018 - др. закон),</w:t>
      </w:r>
    </w:p>
    <w:p w:rsidR="00987545" w:rsidRPr="00E443AE" w:rsidRDefault="00987545" w:rsidP="00205347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  <w:iCs/>
        </w:rPr>
      </w:pPr>
      <w:r w:rsidRPr="00E443AE">
        <w:rPr>
          <w:rFonts w:eastAsia="MS Mincho" w:cs="Calibri"/>
        </w:rPr>
        <w:t>Закон о безбедности и здрављу на раду</w:t>
      </w:r>
      <w:r w:rsidR="00205347" w:rsidRPr="00E443AE">
        <w:rPr>
          <w:rFonts w:eastAsia="MS Mincho" w:cs="Calibri"/>
          <w:iCs/>
        </w:rPr>
        <w:t>("Сл. гласник РС", бр. 101/2005, 91/2015 и 113/2017 - др. закон),</w:t>
      </w:r>
    </w:p>
    <w:p w:rsidR="00987545" w:rsidRPr="00E443AE" w:rsidRDefault="00987545" w:rsidP="00205347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  <w:iCs/>
        </w:rPr>
      </w:pPr>
      <w:r w:rsidRPr="00E443AE">
        <w:rPr>
          <w:rFonts w:eastAsia="MS Mincho" w:cs="Calibri"/>
        </w:rPr>
        <w:t xml:space="preserve">Закон о инспекцијском надзору </w:t>
      </w:r>
      <w:r w:rsidR="00205347" w:rsidRPr="00E443AE">
        <w:rPr>
          <w:rFonts w:eastAsia="MS Mincho" w:cs="Calibri"/>
          <w:iCs/>
        </w:rPr>
        <w:t>("Сл. гласник РС", бр. 36/2015, 44/2018 - др. закон и 95/2018),</w:t>
      </w:r>
    </w:p>
    <w:p w:rsidR="00987545" w:rsidRPr="00E443AE" w:rsidRDefault="00987545" w:rsidP="00205347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  <w:iCs/>
        </w:rPr>
      </w:pPr>
      <w:r w:rsidRPr="00E443AE">
        <w:rPr>
          <w:rFonts w:eastAsia="MS Mincho" w:cs="Calibri"/>
        </w:rPr>
        <w:t>Закон о општем управном поступку</w:t>
      </w:r>
      <w:r w:rsidR="00205347" w:rsidRPr="00E443AE">
        <w:rPr>
          <w:rFonts w:eastAsia="MS Mincho" w:cs="Calibri"/>
          <w:iCs/>
        </w:rPr>
        <w:t>("Сл. гласник РС", бр. 18/2016 и 95/2018 - аутентично тумачење),</w:t>
      </w:r>
    </w:p>
    <w:p w:rsidR="00987545" w:rsidRPr="00E443AE" w:rsidRDefault="00987545" w:rsidP="00205347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  <w:iCs/>
        </w:rPr>
      </w:pPr>
      <w:r w:rsidRPr="00E443AE">
        <w:rPr>
          <w:rFonts w:eastAsia="MS Mincho" w:cs="Calibri"/>
        </w:rPr>
        <w:t>Закон о државној управи</w:t>
      </w:r>
      <w:r w:rsidR="00205347" w:rsidRPr="00E443AE">
        <w:rPr>
          <w:rFonts w:eastAsia="MS Mincho" w:cs="Calibri"/>
          <w:iCs/>
        </w:rPr>
        <w:t>("Сл. гласник РС", бр. 79/2005, 101/2007, 95/2010, 99/2014, 47/2018 и 30/2018 - др. закон),</w:t>
      </w:r>
    </w:p>
    <w:p w:rsidR="00987545" w:rsidRPr="00E443AE" w:rsidRDefault="00987545" w:rsidP="00205347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  <w:iCs/>
        </w:rPr>
      </w:pPr>
      <w:r w:rsidRPr="00E443AE">
        <w:rPr>
          <w:rFonts w:eastAsia="MS Mincho" w:cs="Calibri"/>
        </w:rPr>
        <w:t>Закон о прекршајима</w:t>
      </w:r>
      <w:r w:rsidR="00205347" w:rsidRPr="00E443AE">
        <w:rPr>
          <w:rFonts w:eastAsia="MS Mincho" w:cs="Calibri"/>
          <w:iCs/>
        </w:rPr>
        <w:t>("Сл. гласник РС", бр. 65/2013, 13/2016, 98/2016 - одлука УС, 91/2019 и 91/2019 - др. закон),</w:t>
      </w:r>
    </w:p>
    <w:p w:rsidR="00987545" w:rsidRPr="00E443AE" w:rsidRDefault="00987545" w:rsidP="00205347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  <w:iCs/>
        </w:rPr>
      </w:pPr>
      <w:r w:rsidRPr="00E443AE">
        <w:rPr>
          <w:rFonts w:eastAsia="MS Mincho" w:cs="Calibri"/>
        </w:rPr>
        <w:t xml:space="preserve">Закон о привредним преступима </w:t>
      </w:r>
      <w:r w:rsidR="00205347" w:rsidRPr="00E443AE">
        <w:rPr>
          <w:rFonts w:eastAsia="MS Mincho" w:cs="Calibri"/>
          <w:iCs/>
        </w:rPr>
        <w:t>("Сл. лист СФРЈ", бр. 4/77, 36/77 - испр., 14/85, 10/86 (пречишћен текст), 74/87, 57/89 и 3/90 и "Сл. лист СРЈ", бр. 27/92, 16/93, 31/93, 41/93, 50/93, 24/94, 28/96 и 64/2001 и "Сл. гласник РС", бр. 101/2005 - др. закон),</w:t>
      </w:r>
    </w:p>
    <w:p w:rsidR="00987545" w:rsidRPr="00E443AE" w:rsidRDefault="00987545" w:rsidP="00205347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  <w:iCs/>
        </w:rPr>
      </w:pPr>
      <w:r w:rsidRPr="00E443AE">
        <w:rPr>
          <w:rFonts w:eastAsia="MS Mincho" w:cs="Calibri"/>
        </w:rPr>
        <w:t>Кривичн</w:t>
      </w:r>
      <w:r w:rsidR="00BD599F" w:rsidRPr="00E443AE">
        <w:rPr>
          <w:rFonts w:eastAsia="MS Mincho" w:cs="Calibri"/>
        </w:rPr>
        <w:t>и законик</w:t>
      </w:r>
      <w:r w:rsidR="00205347" w:rsidRPr="00E443AE">
        <w:rPr>
          <w:rFonts w:eastAsia="MS Mincho" w:cs="Calibri"/>
          <w:iCs/>
        </w:rPr>
        <w:t>("Сл. гласник РС", бр. 85/2005, 88/2005 - испр., 107/2005 - испр., 72/2009, 111/2009, 121/2012, 104/2013, 108/2014, 94/2016 и 35/2019),</w:t>
      </w:r>
    </w:p>
    <w:p w:rsidR="00987545" w:rsidRPr="00E443AE" w:rsidRDefault="00987545" w:rsidP="00BD599F">
      <w:pPr>
        <w:pStyle w:val="ListParagraph"/>
        <w:numPr>
          <w:ilvl w:val="0"/>
          <w:numId w:val="15"/>
        </w:numPr>
        <w:spacing w:after="120" w:line="240" w:lineRule="auto"/>
        <w:rPr>
          <w:rFonts w:eastAsia="MS Mincho" w:cs="Calibri"/>
          <w:lang w:val="sr-Cyrl-CS"/>
        </w:rPr>
      </w:pPr>
      <w:r w:rsidRPr="00E443AE">
        <w:rPr>
          <w:rFonts w:eastAsia="MS Mincho" w:cs="Calibri"/>
          <w:lang w:val="sr-Cyrl-CS"/>
        </w:rPr>
        <w:t>Као и на основу подзаконских аката донетих по основу Закона о рударству и геолошким истраживањима и Закона о безбедности и здрављу на раду.</w:t>
      </w:r>
    </w:p>
    <w:p w:rsidR="00BA44BD" w:rsidRPr="00E443AE" w:rsidRDefault="00BA44BD" w:rsidP="00CC5199">
      <w:pPr>
        <w:pStyle w:val="ListParagraph"/>
        <w:spacing w:after="120" w:line="240" w:lineRule="auto"/>
        <w:rPr>
          <w:rFonts w:eastAsia="MS Mincho" w:cs="Calibri"/>
          <w:lang w:val="sr-Cyrl-CS"/>
        </w:rPr>
      </w:pPr>
    </w:p>
    <w:p w:rsidR="00E25F8B" w:rsidRPr="00E443AE" w:rsidRDefault="00E25F8B" w:rsidP="00CC5199">
      <w:pPr>
        <w:pStyle w:val="ListParagraph"/>
        <w:spacing w:after="120" w:line="240" w:lineRule="auto"/>
        <w:rPr>
          <w:rFonts w:eastAsia="MS Mincho" w:cs="Calibri"/>
          <w:lang w:val="sr-Cyrl-CS"/>
        </w:rPr>
      </w:pPr>
    </w:p>
    <w:p w:rsidR="00987545" w:rsidRPr="00E443AE" w:rsidRDefault="00237034" w:rsidP="007E128E">
      <w:pPr>
        <w:pStyle w:val="ListParagraph"/>
        <w:numPr>
          <w:ilvl w:val="1"/>
          <w:numId w:val="13"/>
        </w:numPr>
        <w:ind w:left="0" w:firstLine="0"/>
        <w:jc w:val="center"/>
        <w:rPr>
          <w:rFonts w:eastAsia="Times New Roman" w:cs="Calibri"/>
          <w:b/>
        </w:rPr>
      </w:pPr>
      <w:r w:rsidRPr="00E443AE">
        <w:rPr>
          <w:rFonts w:eastAsia="Times New Roman" w:cs="Calibri"/>
          <w:b/>
          <w:color w:val="333333"/>
        </w:rPr>
        <w:t>П</w:t>
      </w:r>
      <w:r w:rsidR="00987545" w:rsidRPr="00E443AE">
        <w:rPr>
          <w:rFonts w:eastAsia="Times New Roman" w:cs="Calibri"/>
          <w:b/>
          <w:color w:val="333333"/>
        </w:rPr>
        <w:t>риказ организационе структуре инспекције</w:t>
      </w:r>
      <w:r w:rsidR="00987545" w:rsidRPr="00E443AE">
        <w:rPr>
          <w:rFonts w:eastAsia="Times New Roman" w:cs="Calibri"/>
          <w:b/>
        </w:rPr>
        <w:t xml:space="preserve"> и преглед систематизованих односно попуњених радних места по организационим јединицама </w:t>
      </w:r>
    </w:p>
    <w:p w:rsidR="00D352DF" w:rsidRDefault="00AE7F2E" w:rsidP="00E56033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1" w:name="_gjdgxs" w:colFirst="0" w:colLast="0"/>
      <w:bookmarkEnd w:id="1"/>
      <w:r w:rsidRPr="00E443AE"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3609975" cy="4143375"/>
            <wp:effectExtent l="0" t="0" r="0" b="0"/>
            <wp:docPr id="2" name="Picture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034" w:rsidRPr="009B464A" w:rsidRDefault="004F291F" w:rsidP="00CC520A">
      <w:pPr>
        <w:spacing w:after="0" w:line="240" w:lineRule="auto"/>
        <w:ind w:firstLine="720"/>
        <w:jc w:val="both"/>
        <w:rPr>
          <w:lang w:val="sr-Cyrl-CS"/>
        </w:rPr>
      </w:pPr>
      <w:r w:rsidRPr="009B464A">
        <w:rPr>
          <w:lang w:val="sr-Cyrl-CS"/>
        </w:rPr>
        <w:t>Систематизовано је два радна места геолошки инспектор – саветник, од чега су попуњена два радна места.</w:t>
      </w:r>
    </w:p>
    <w:p w:rsidR="00385AB6" w:rsidRPr="00CC520A" w:rsidRDefault="00385AB6" w:rsidP="00CC520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53CE1" w:rsidRPr="00E443AE" w:rsidRDefault="00053B4B" w:rsidP="00385AB6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eastAsia="Times New Roman" w:cs="Calibri"/>
          <w:color w:val="FF0000"/>
        </w:rPr>
      </w:pPr>
      <w:r w:rsidRPr="00E443AE">
        <w:rPr>
          <w:rFonts w:eastAsia="Times New Roman" w:cs="Calibri"/>
          <w:b/>
        </w:rPr>
        <w:lastRenderedPageBreak/>
        <w:t>Ц</w:t>
      </w:r>
      <w:r w:rsidR="00385AB6" w:rsidRPr="00E443AE">
        <w:rPr>
          <w:rFonts w:eastAsia="Times New Roman" w:cs="Calibri"/>
          <w:b/>
        </w:rPr>
        <w:t>ИЉЕВИ КОЈЕ ИНСПЕКЦИЈА ТЕЖИ ДА ОСТВАРИ У ПЛАНИРАНОМ ПЕРИОДУ</w:t>
      </w:r>
    </w:p>
    <w:p w:rsidR="00385AB6" w:rsidRPr="00E443AE" w:rsidRDefault="00385AB6" w:rsidP="00385AB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Calibri"/>
          <w:color w:val="FF0000"/>
        </w:rPr>
      </w:pPr>
    </w:p>
    <w:p w:rsidR="00453CE1" w:rsidRPr="00E443AE" w:rsidRDefault="00453CE1" w:rsidP="00453CE1">
      <w:pPr>
        <w:spacing w:after="0" w:line="240" w:lineRule="auto"/>
        <w:ind w:firstLine="425"/>
        <w:jc w:val="both"/>
        <w:rPr>
          <w:rFonts w:eastAsia="Times New Roman" w:cs="Calibri"/>
        </w:rPr>
      </w:pPr>
      <w:r w:rsidRPr="00E443AE">
        <w:rPr>
          <w:rFonts w:eastAsia="Times New Roman" w:cs="Calibri"/>
          <w:b/>
        </w:rPr>
        <w:t>Општи циљ</w:t>
      </w:r>
      <w:r w:rsidRPr="00E443AE">
        <w:rPr>
          <w:rFonts w:eastAsia="Times New Roman" w:cs="Calibri"/>
        </w:rPr>
        <w:t xml:space="preserve"> плана је да омогући усмеравање на оне активности и субјекте надзора који носе значајан ризик и где постоји значајан јавни интерес у области </w:t>
      </w:r>
      <w:r w:rsidRPr="00E443AE">
        <w:rPr>
          <w:rFonts w:eastAsia="Times New Roman" w:cs="Calibri"/>
          <w:lang w:val="sr-Cyrl-CS"/>
        </w:rPr>
        <w:t>примењених геолошких истраживања минералних сировина</w:t>
      </w:r>
      <w:r w:rsidRPr="00E443AE">
        <w:rPr>
          <w:rFonts w:eastAsia="Times New Roman" w:cs="Calibri"/>
        </w:rPr>
        <w:t>. Такође, циљ плана је боље управљање ресурсима</w:t>
      </w:r>
      <w:r w:rsidR="007E128E" w:rsidRPr="00E443AE">
        <w:rPr>
          <w:rFonts w:eastAsia="Times New Roman" w:cs="Calibri"/>
        </w:rPr>
        <w:t xml:space="preserve"> инспекције</w:t>
      </w:r>
      <w:r w:rsidRPr="00E443AE">
        <w:rPr>
          <w:rFonts w:eastAsia="Times New Roman" w:cs="Calibri"/>
        </w:rPr>
        <w:t>,</w:t>
      </w:r>
      <w:r w:rsidR="00EA71AF" w:rsidRPr="00E443AE">
        <w:rPr>
          <w:rFonts w:eastAsia="Times New Roman" w:cs="Calibri"/>
        </w:rPr>
        <w:t xml:space="preserve"> бољу</w:t>
      </w:r>
      <w:r w:rsidRPr="00E443AE">
        <w:rPr>
          <w:rFonts w:eastAsia="Times New Roman" w:cs="Calibri"/>
        </w:rPr>
        <w:t xml:space="preserve"> интеграцију послова у области инспекцијског надзора и координационих активности. Овај план омогућава праћења активности инспекцијског надзора и остварење циљева уз помоћ ефикасније организације и спровођења инспекцијског надзора у </w:t>
      </w:r>
      <w:r w:rsidRPr="00E443AE">
        <w:rPr>
          <w:rFonts w:eastAsia="Times New Roman" w:cs="Calibri"/>
          <w:lang w:val="sr-Cyrl-CS"/>
        </w:rPr>
        <w:t>примење</w:t>
      </w:r>
      <w:r w:rsidR="00BA44BD" w:rsidRPr="00E443AE">
        <w:rPr>
          <w:rFonts w:eastAsia="Times New Roman" w:cs="Calibri"/>
          <w:lang w:val="sr-Cyrl-CS"/>
        </w:rPr>
        <w:t xml:space="preserve">ним геолошким истраживањима </w:t>
      </w:r>
      <w:r w:rsidRPr="00E443AE">
        <w:rPr>
          <w:rFonts w:eastAsia="Times New Roman" w:cs="Calibri"/>
          <w:lang w:val="sr-Cyrl-CS"/>
        </w:rPr>
        <w:t>минералних сировина</w:t>
      </w:r>
      <w:r w:rsidRPr="00E443AE">
        <w:rPr>
          <w:rFonts w:eastAsia="Times New Roman" w:cs="Calibri"/>
        </w:rPr>
        <w:t xml:space="preserve">. Спровођењем инспекцијског надзора над регистрованим субјектима у области </w:t>
      </w:r>
      <w:r w:rsidRPr="00E443AE">
        <w:rPr>
          <w:rFonts w:eastAsia="Times New Roman" w:cs="Calibri"/>
          <w:lang w:val="sr-Cyrl-CS"/>
        </w:rPr>
        <w:t>примењених геолошких истраживања минералних сировина смањиће се ризик и повећаће се ниво безбедности и здравља радника</w:t>
      </w:r>
      <w:r w:rsidRPr="00E443AE">
        <w:rPr>
          <w:rFonts w:eastAsia="Times New Roman" w:cs="Calibri"/>
        </w:rPr>
        <w:t>.</w:t>
      </w:r>
    </w:p>
    <w:p w:rsidR="00453CE1" w:rsidRPr="00E443AE" w:rsidRDefault="00453CE1" w:rsidP="00453CE1">
      <w:pPr>
        <w:spacing w:after="0" w:line="240" w:lineRule="auto"/>
        <w:ind w:firstLine="425"/>
        <w:jc w:val="both"/>
        <w:rPr>
          <w:rFonts w:eastAsia="Times New Roman" w:cs="Calibri"/>
        </w:rPr>
      </w:pPr>
      <w:r w:rsidRPr="00E443AE">
        <w:rPr>
          <w:rFonts w:eastAsia="Times New Roman" w:cs="Calibri"/>
          <w:b/>
        </w:rPr>
        <w:t>Специфични циљ</w:t>
      </w:r>
      <w:r w:rsidRPr="00E443AE">
        <w:rPr>
          <w:rFonts w:eastAsia="Times New Roman" w:cs="Calibri"/>
        </w:rPr>
        <w:t xml:space="preserve"> ефикасног спровођења инспекцијског надзора ће се реализовати кроз континуирано праћење специјализованих база података и других извора информација, обуку инспектора, као и коришћење писаних процедура и упутстава који се утврђују и усклађују са општим циљевима Министарства </w:t>
      </w:r>
      <w:r w:rsidRPr="00E443AE">
        <w:rPr>
          <w:rFonts w:eastAsia="Times New Roman" w:cs="Calibri"/>
          <w:lang w:val="sr-Cyrl-CS"/>
        </w:rPr>
        <w:t>рударства и енергетике и Координационе комисије за инспекцијски надзор</w:t>
      </w:r>
      <w:r w:rsidRPr="00E443AE">
        <w:rPr>
          <w:rFonts w:eastAsia="Times New Roman" w:cs="Calibri"/>
        </w:rPr>
        <w:t>.</w:t>
      </w:r>
    </w:p>
    <w:p w:rsidR="00385AB6" w:rsidRPr="00E443AE" w:rsidRDefault="00385AB6" w:rsidP="00453CE1">
      <w:pPr>
        <w:spacing w:after="0" w:line="240" w:lineRule="auto"/>
        <w:ind w:firstLine="425"/>
        <w:jc w:val="both"/>
        <w:rPr>
          <w:rFonts w:eastAsia="Times New Roman" w:cs="Calibri"/>
        </w:rPr>
      </w:pPr>
    </w:p>
    <w:p w:rsidR="001027ED" w:rsidRPr="00E443AE" w:rsidRDefault="001027ED" w:rsidP="0097356D">
      <w:pPr>
        <w:spacing w:after="0" w:line="240" w:lineRule="auto"/>
        <w:ind w:firstLine="425"/>
        <w:jc w:val="both"/>
        <w:rPr>
          <w:rFonts w:eastAsia="Times New Roman" w:cs="Calibri"/>
          <w:b/>
          <w:lang w:val="sr-Cyrl-CS"/>
        </w:rPr>
      </w:pPr>
      <w:r w:rsidRPr="00E443AE">
        <w:rPr>
          <w:rFonts w:eastAsia="Times New Roman" w:cs="Calibri"/>
          <w:b/>
          <w:lang w:val="sr-Cyrl-CS"/>
        </w:rPr>
        <w:t>Остали циљеви изражени у мерљивим ефектима</w:t>
      </w:r>
    </w:p>
    <w:p w:rsidR="00385AB6" w:rsidRPr="00E443AE" w:rsidRDefault="00385AB6" w:rsidP="0097356D">
      <w:pPr>
        <w:spacing w:after="0" w:line="240" w:lineRule="auto"/>
        <w:ind w:firstLine="425"/>
        <w:jc w:val="both"/>
        <w:rPr>
          <w:rFonts w:eastAsia="Times New Roman" w:cs="Calibri"/>
          <w:b/>
          <w:lang w:val="sr-Cyrl-CS"/>
        </w:rPr>
      </w:pPr>
    </w:p>
    <w:p w:rsidR="00544BC6" w:rsidRPr="00E443AE" w:rsidRDefault="00544BC6" w:rsidP="00544BC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Реализован годишњи план инспекцијског надзора у обиму од 95%;</w:t>
      </w:r>
    </w:p>
    <w:p w:rsidR="00E25F8B" w:rsidRPr="00E443AE" w:rsidRDefault="00E25F8B" w:rsidP="00E25F8B">
      <w:pPr>
        <w:pStyle w:val="ListParagraph"/>
        <w:spacing w:after="0" w:line="240" w:lineRule="auto"/>
        <w:ind w:left="360"/>
        <w:jc w:val="both"/>
        <w:rPr>
          <w:rFonts w:eastAsia="Times New Roman" w:cs="Calibri"/>
        </w:rPr>
      </w:pPr>
    </w:p>
    <w:p w:rsidR="00544BC6" w:rsidRPr="00E443AE" w:rsidRDefault="00544BC6" w:rsidP="00544BC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Повећан број инспекцијских надзора нерегистрованих субјеката</w:t>
      </w:r>
      <w:r w:rsidR="0097356D" w:rsidRPr="00E443AE">
        <w:rPr>
          <w:rFonts w:eastAsia="Times New Roman" w:cs="Calibri"/>
        </w:rPr>
        <w:t xml:space="preserve"> – субјеката који врше експлоатацију без одобрења </w:t>
      </w:r>
      <w:r w:rsidRPr="00E443AE">
        <w:rPr>
          <w:rFonts w:eastAsia="Times New Roman" w:cs="Calibri"/>
        </w:rPr>
        <w:t xml:space="preserve"> за 10% у односу на 2020. </w:t>
      </w:r>
      <w:r w:rsidR="0097356D" w:rsidRPr="00E443AE">
        <w:rPr>
          <w:rFonts w:eastAsia="Times New Roman" w:cs="Calibri"/>
        </w:rPr>
        <w:t>г</w:t>
      </w:r>
      <w:r w:rsidRPr="00E443AE">
        <w:rPr>
          <w:rFonts w:eastAsia="Times New Roman" w:cs="Calibri"/>
        </w:rPr>
        <w:t>одину;</w:t>
      </w:r>
    </w:p>
    <w:p w:rsidR="00E25F8B" w:rsidRPr="00E443AE" w:rsidRDefault="00E25F8B" w:rsidP="00E25F8B">
      <w:pPr>
        <w:pStyle w:val="ListParagraph"/>
        <w:spacing w:after="0" w:line="240" w:lineRule="auto"/>
        <w:ind w:left="360"/>
        <w:jc w:val="both"/>
        <w:rPr>
          <w:rFonts w:eastAsia="Times New Roman" w:cs="Calibri"/>
        </w:rPr>
      </w:pPr>
    </w:p>
    <w:p w:rsidR="00544BC6" w:rsidRPr="00E443AE" w:rsidRDefault="0097356D" w:rsidP="00544BC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Израђени стратешки, годишњи и оперативни</w:t>
      </w:r>
      <w:r w:rsidR="00544BC6" w:rsidRPr="00E443AE">
        <w:rPr>
          <w:rFonts w:eastAsia="Times New Roman" w:cs="Calibri"/>
        </w:rPr>
        <w:t xml:space="preserve"> планови </w:t>
      </w:r>
      <w:r w:rsidRPr="00E443AE">
        <w:rPr>
          <w:rFonts w:eastAsia="Times New Roman" w:cs="Calibri"/>
        </w:rPr>
        <w:t xml:space="preserve">инспекцијког надзора, </w:t>
      </w:r>
      <w:r w:rsidR="00544BC6" w:rsidRPr="00E443AE">
        <w:rPr>
          <w:rFonts w:eastAsia="Times New Roman" w:cs="Calibri"/>
        </w:rPr>
        <w:t xml:space="preserve">као и </w:t>
      </w:r>
      <w:r w:rsidRPr="00E443AE">
        <w:rPr>
          <w:rFonts w:eastAsia="Times New Roman" w:cs="Calibri"/>
        </w:rPr>
        <w:t>прописани</w:t>
      </w:r>
      <w:r w:rsidR="00544BC6" w:rsidRPr="00E443AE">
        <w:rPr>
          <w:rFonts w:eastAsia="Times New Roman" w:cs="Calibri"/>
        </w:rPr>
        <w:t xml:space="preserve"> извештај</w:t>
      </w:r>
      <w:r w:rsidRPr="00E443AE">
        <w:rPr>
          <w:rFonts w:eastAsia="Times New Roman" w:cs="Calibri"/>
        </w:rPr>
        <w:t>и</w:t>
      </w:r>
      <w:r w:rsidR="00544BC6" w:rsidRPr="00E443AE">
        <w:rPr>
          <w:rFonts w:eastAsia="Times New Roman" w:cs="Calibri"/>
        </w:rPr>
        <w:t xml:space="preserve"> у </w:t>
      </w:r>
      <w:r w:rsidRPr="00E443AE">
        <w:rPr>
          <w:rFonts w:eastAsia="Times New Roman" w:cs="Calibri"/>
        </w:rPr>
        <w:t>задатим роковима</w:t>
      </w:r>
      <w:r w:rsidR="00544BC6" w:rsidRPr="00E443AE">
        <w:rPr>
          <w:rFonts w:eastAsia="Times New Roman" w:cs="Calibri"/>
        </w:rPr>
        <w:t>;</w:t>
      </w:r>
    </w:p>
    <w:p w:rsidR="00E25F8B" w:rsidRPr="00E443AE" w:rsidRDefault="00E25F8B" w:rsidP="00E25F8B">
      <w:pPr>
        <w:pStyle w:val="ListParagraph"/>
        <w:spacing w:after="0" w:line="240" w:lineRule="auto"/>
        <w:ind w:left="360"/>
        <w:jc w:val="both"/>
        <w:rPr>
          <w:rFonts w:eastAsia="Times New Roman" w:cs="Calibri"/>
        </w:rPr>
      </w:pPr>
    </w:p>
    <w:p w:rsidR="00544BC6" w:rsidRPr="00E443AE" w:rsidRDefault="00544BC6" w:rsidP="00544BC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Унапређене компетенције инспектора у области информационо-комуникационих технологија кроз специјализоване обуке које су инспектори похађали у трајању од најмање 8 часова по инспектору до краја 2021. године;</w:t>
      </w:r>
    </w:p>
    <w:p w:rsidR="00E25F8B" w:rsidRPr="00E443AE" w:rsidRDefault="00E25F8B" w:rsidP="00E25F8B">
      <w:pPr>
        <w:pStyle w:val="ListParagraph"/>
        <w:spacing w:after="0" w:line="240" w:lineRule="auto"/>
        <w:ind w:left="360"/>
        <w:jc w:val="both"/>
        <w:rPr>
          <w:rFonts w:eastAsia="Times New Roman" w:cs="Calibri"/>
        </w:rPr>
      </w:pPr>
    </w:p>
    <w:p w:rsidR="0097356D" w:rsidRPr="00E443AE" w:rsidRDefault="003D7058" w:rsidP="00544BC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Донете писане процедуре за вршење надзора и вођење евиденција којима се обезбеђује већа поузданост података у вођењу евиденција и ефикасност надзора;</w:t>
      </w:r>
    </w:p>
    <w:p w:rsidR="003D7058" w:rsidRPr="00E443AE" w:rsidRDefault="003D7058" w:rsidP="00544BC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Извршено преиспитивање контролних листа, ажуриране постојеће и израђене недостајуће</w:t>
      </w:r>
      <w:r w:rsidR="00E61676" w:rsidRPr="00E443AE">
        <w:rPr>
          <w:rFonts w:eastAsia="Times New Roman" w:cs="Calibri"/>
        </w:rPr>
        <w:t>;</w:t>
      </w:r>
    </w:p>
    <w:p w:rsidR="00E25F8B" w:rsidRPr="00E443AE" w:rsidRDefault="00E25F8B" w:rsidP="00E25F8B">
      <w:pPr>
        <w:pStyle w:val="ListParagraph"/>
        <w:spacing w:after="0" w:line="240" w:lineRule="auto"/>
        <w:ind w:left="360"/>
        <w:jc w:val="both"/>
        <w:rPr>
          <w:rFonts w:eastAsia="Times New Roman" w:cs="Calibri"/>
        </w:rPr>
      </w:pPr>
    </w:p>
    <w:p w:rsidR="00E61676" w:rsidRPr="00E443AE" w:rsidRDefault="00E61676" w:rsidP="00544BC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="Calibri"/>
        </w:rPr>
      </w:pPr>
      <w:r w:rsidRPr="00E443AE">
        <w:rPr>
          <w:rFonts w:cs="Calibri"/>
        </w:rPr>
        <w:t>За све откривене незаконитос</w:t>
      </w:r>
      <w:r w:rsidR="00543385" w:rsidRPr="00E443AE">
        <w:rPr>
          <w:rFonts w:cs="Calibri"/>
        </w:rPr>
        <w:t>ти код надзираних субјеката, ко</w:t>
      </w:r>
      <w:r w:rsidRPr="00E443AE">
        <w:rPr>
          <w:rFonts w:cs="Calibri"/>
        </w:rPr>
        <w:t>је су кажњиве пре</w:t>
      </w:r>
      <w:r w:rsidR="00543385" w:rsidRPr="00E443AE">
        <w:rPr>
          <w:rFonts w:cs="Calibri"/>
        </w:rPr>
        <w:t xml:space="preserve">ма закону, </w:t>
      </w:r>
      <w:r w:rsidRPr="00E443AE">
        <w:rPr>
          <w:rFonts w:cs="Calibri"/>
        </w:rPr>
        <w:t>правосудном органу подн</w:t>
      </w:r>
      <w:r w:rsidR="00543385" w:rsidRPr="00E443AE">
        <w:rPr>
          <w:rFonts w:cs="Calibri"/>
        </w:rPr>
        <w:t>ете су</w:t>
      </w:r>
      <w:r w:rsidRPr="00E443AE">
        <w:rPr>
          <w:rFonts w:cs="Calibri"/>
        </w:rPr>
        <w:t xml:space="preserve"> кривичн</w:t>
      </w:r>
      <w:r w:rsidR="00543385" w:rsidRPr="00E443AE">
        <w:rPr>
          <w:rFonts w:cs="Calibri"/>
        </w:rPr>
        <w:t>е</w:t>
      </w:r>
      <w:r w:rsidRPr="00E443AE">
        <w:rPr>
          <w:rFonts w:cs="Calibri"/>
        </w:rPr>
        <w:t xml:space="preserve"> пријав</w:t>
      </w:r>
      <w:r w:rsidR="00543385" w:rsidRPr="00E443AE">
        <w:rPr>
          <w:rFonts w:cs="Calibri"/>
        </w:rPr>
        <w:t>е</w:t>
      </w:r>
      <w:r w:rsidRPr="00E443AE">
        <w:rPr>
          <w:rFonts w:cs="Calibri"/>
        </w:rPr>
        <w:t>, пријав</w:t>
      </w:r>
      <w:r w:rsidR="00543385" w:rsidRPr="00E443AE">
        <w:rPr>
          <w:rFonts w:cs="Calibri"/>
        </w:rPr>
        <w:t>е</w:t>
      </w:r>
      <w:r w:rsidRPr="00E443AE">
        <w:rPr>
          <w:rFonts w:cs="Calibri"/>
        </w:rPr>
        <w:t xml:space="preserve"> за привредни преступ или захтев за покретање прекршајног поступка, односно предузет</w:t>
      </w:r>
      <w:r w:rsidR="00543385" w:rsidRPr="00E443AE">
        <w:rPr>
          <w:rFonts w:cs="Calibri"/>
        </w:rPr>
        <w:t>е су</w:t>
      </w:r>
      <w:r w:rsidRPr="00E443AE">
        <w:rPr>
          <w:rFonts w:cs="Calibri"/>
        </w:rPr>
        <w:t xml:space="preserve"> и друге радње и мере на које је законом или другим прописом </w:t>
      </w:r>
      <w:r w:rsidR="00543385" w:rsidRPr="00E443AE">
        <w:rPr>
          <w:rFonts w:cs="Calibri"/>
        </w:rPr>
        <w:t xml:space="preserve">инспектор </w:t>
      </w:r>
      <w:r w:rsidRPr="00E443AE">
        <w:rPr>
          <w:rFonts w:cs="Calibri"/>
        </w:rPr>
        <w:t>овлашћен.</w:t>
      </w:r>
    </w:p>
    <w:p w:rsidR="00544BC6" w:rsidRPr="00E443AE" w:rsidRDefault="00544BC6" w:rsidP="00544BC6">
      <w:pPr>
        <w:spacing w:after="0" w:line="240" w:lineRule="auto"/>
        <w:ind w:firstLine="425"/>
        <w:jc w:val="both"/>
        <w:rPr>
          <w:rFonts w:eastAsia="Times New Roman" w:cs="Calibri"/>
        </w:rPr>
      </w:pPr>
    </w:p>
    <w:p w:rsidR="009B64C4" w:rsidRPr="00E443AE" w:rsidRDefault="009B64C4" w:rsidP="009B64C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cs="Calibri"/>
          <w:color w:val="FF0000"/>
        </w:rPr>
      </w:pPr>
    </w:p>
    <w:p w:rsidR="00E25F8B" w:rsidRPr="00E443AE" w:rsidRDefault="00053B4B" w:rsidP="00E25F8B">
      <w:pPr>
        <w:pStyle w:val="ListParagraph"/>
        <w:numPr>
          <w:ilvl w:val="0"/>
          <w:numId w:val="13"/>
        </w:numPr>
        <w:spacing w:after="200" w:line="276" w:lineRule="auto"/>
        <w:jc w:val="center"/>
        <w:rPr>
          <w:rFonts w:eastAsia="Times New Roman" w:cs="Calibri"/>
        </w:rPr>
      </w:pPr>
      <w:r w:rsidRPr="00E443AE">
        <w:rPr>
          <w:rFonts w:eastAsia="Times New Roman" w:cs="Calibri"/>
          <w:b/>
        </w:rPr>
        <w:t>У</w:t>
      </w:r>
      <w:r w:rsidR="00385AB6" w:rsidRPr="00E443AE">
        <w:rPr>
          <w:rFonts w:eastAsia="Times New Roman" w:cs="Calibri"/>
          <w:b/>
        </w:rPr>
        <w:t>ЧЕСТАЛОСТ И ОБУХВАТ ВРШЕЊА ИНСПЕКЦИЈСКОГ НАДЗОРА ПО ОБЛАСТИМА И СВАКОМ ОД СТЕПЕНА РИЗИКА</w:t>
      </w:r>
    </w:p>
    <w:p w:rsidR="00E25F8B" w:rsidRPr="00E443AE" w:rsidRDefault="00E25F8B" w:rsidP="00E25F8B">
      <w:pPr>
        <w:spacing w:after="200" w:line="276" w:lineRule="auto"/>
        <w:jc w:val="both"/>
        <w:rPr>
          <w:rFonts w:eastAsia="Times New Roman" w:cs="Calibri"/>
          <w:b/>
        </w:rPr>
      </w:pPr>
    </w:p>
    <w:p w:rsidR="00053B4B" w:rsidRPr="00E443AE" w:rsidRDefault="00053B4B" w:rsidP="00E25F8B">
      <w:pPr>
        <w:spacing w:after="200" w:line="276" w:lineRule="auto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Учесталост надзора у складу са рас</w:t>
      </w:r>
      <w:r w:rsidR="009B2C00" w:rsidRPr="00E443AE">
        <w:rPr>
          <w:rFonts w:eastAsia="Times New Roman" w:cs="Calibri"/>
        </w:rPr>
        <w:t>поделом посматраних објеката по</w:t>
      </w:r>
      <w:r w:rsidRPr="00E443AE">
        <w:rPr>
          <w:rFonts w:eastAsia="Times New Roman" w:cs="Calibri"/>
        </w:rPr>
        <w:t xml:space="preserve"> степену ризи</w:t>
      </w:r>
      <w:r w:rsidR="00943BED" w:rsidRPr="00E443AE">
        <w:rPr>
          <w:rFonts w:eastAsia="Times New Roman" w:cs="Calibri"/>
        </w:rPr>
        <w:t>ка</w:t>
      </w:r>
      <w:r w:rsidRPr="00E443AE">
        <w:rPr>
          <w:rFonts w:eastAsia="Times New Roman" w:cs="Calibri"/>
        </w:rPr>
        <w:t xml:space="preserve"> према правилницима о посебним елементима процене ризика или на основу устаљене праксе:</w:t>
      </w:r>
    </w:p>
    <w:p w:rsidR="00053B4B" w:rsidRPr="00E443AE" w:rsidRDefault="00053B4B" w:rsidP="003253A1">
      <w:pPr>
        <w:pStyle w:val="NoSpacing"/>
        <w:numPr>
          <w:ilvl w:val="0"/>
          <w:numId w:val="7"/>
        </w:numPr>
        <w:rPr>
          <w:rFonts w:cs="Calibri"/>
        </w:rPr>
      </w:pPr>
      <w:r w:rsidRPr="00E443AE">
        <w:rPr>
          <w:rFonts w:cs="Calibri"/>
        </w:rPr>
        <w:t xml:space="preserve">Уколико је степен ризика </w:t>
      </w:r>
      <w:r w:rsidR="003253A1" w:rsidRPr="00E443AE">
        <w:rPr>
          <w:rFonts w:cs="Calibri"/>
        </w:rPr>
        <w:t>критичан, планирају се 2</w:t>
      </w:r>
      <w:r w:rsidRPr="00E443AE">
        <w:rPr>
          <w:rFonts w:cs="Calibri"/>
        </w:rPr>
        <w:t xml:space="preserve"> и више инспекцијских надзора у току године</w:t>
      </w:r>
    </w:p>
    <w:p w:rsidR="00053B4B" w:rsidRPr="00E443AE" w:rsidRDefault="00053B4B" w:rsidP="003253A1">
      <w:pPr>
        <w:pStyle w:val="NoSpacing"/>
        <w:numPr>
          <w:ilvl w:val="0"/>
          <w:numId w:val="7"/>
        </w:numPr>
        <w:rPr>
          <w:rFonts w:cs="Calibri"/>
        </w:rPr>
      </w:pPr>
      <w:r w:rsidRPr="00E443AE">
        <w:rPr>
          <w:rFonts w:cs="Calibri"/>
        </w:rPr>
        <w:lastRenderedPageBreak/>
        <w:t>Уколико је сте</w:t>
      </w:r>
      <w:r w:rsidR="003253A1" w:rsidRPr="00E443AE">
        <w:rPr>
          <w:rFonts w:cs="Calibri"/>
        </w:rPr>
        <w:t>пен ризика висок, планирају се 1</w:t>
      </w:r>
      <w:r w:rsidRPr="00E443AE">
        <w:rPr>
          <w:rFonts w:cs="Calibri"/>
        </w:rPr>
        <w:t xml:space="preserve"> и више инспекцијских надзора у току године</w:t>
      </w:r>
    </w:p>
    <w:p w:rsidR="00053B4B" w:rsidRPr="00E443AE" w:rsidRDefault="00053B4B" w:rsidP="003253A1">
      <w:pPr>
        <w:pStyle w:val="NoSpacing"/>
        <w:numPr>
          <w:ilvl w:val="0"/>
          <w:numId w:val="7"/>
        </w:numPr>
        <w:rPr>
          <w:rFonts w:cs="Calibri"/>
        </w:rPr>
      </w:pPr>
      <w:r w:rsidRPr="00E443AE">
        <w:rPr>
          <w:rFonts w:cs="Calibri"/>
        </w:rPr>
        <w:t>Уколико је сред</w:t>
      </w:r>
      <w:r w:rsidR="003253A1" w:rsidRPr="00E443AE">
        <w:rPr>
          <w:rFonts w:cs="Calibri"/>
        </w:rPr>
        <w:t>њи степен ризика, планирају се 1</w:t>
      </w:r>
      <w:r w:rsidRPr="00E443AE">
        <w:rPr>
          <w:rFonts w:cs="Calibri"/>
        </w:rPr>
        <w:t xml:space="preserve"> инспекцијски  надзор у току године</w:t>
      </w:r>
    </w:p>
    <w:p w:rsidR="00053B4B" w:rsidRPr="00E443AE" w:rsidRDefault="00053B4B" w:rsidP="003253A1">
      <w:pPr>
        <w:pStyle w:val="NoSpacing"/>
        <w:numPr>
          <w:ilvl w:val="0"/>
          <w:numId w:val="7"/>
        </w:numPr>
        <w:rPr>
          <w:rFonts w:cs="Calibri"/>
        </w:rPr>
      </w:pPr>
      <w:r w:rsidRPr="00E443AE">
        <w:rPr>
          <w:rFonts w:cs="Calibri"/>
        </w:rPr>
        <w:t xml:space="preserve">Уколико је степен ризика низак, планирају се 1 инспекцијска  надзора у току </w:t>
      </w:r>
      <w:r w:rsidR="003253A1" w:rsidRPr="00E443AE">
        <w:rPr>
          <w:rFonts w:cs="Calibri"/>
        </w:rPr>
        <w:t xml:space="preserve">две </w:t>
      </w:r>
      <w:r w:rsidRPr="00E443AE">
        <w:rPr>
          <w:rFonts w:cs="Calibri"/>
        </w:rPr>
        <w:t>године</w:t>
      </w:r>
    </w:p>
    <w:p w:rsidR="003253A1" w:rsidRPr="00E443AE" w:rsidRDefault="003253A1" w:rsidP="003253A1">
      <w:pPr>
        <w:pStyle w:val="NoSpacing"/>
        <w:numPr>
          <w:ilvl w:val="0"/>
          <w:numId w:val="7"/>
        </w:numPr>
        <w:rPr>
          <w:rFonts w:cs="Calibri"/>
        </w:rPr>
      </w:pPr>
      <w:r w:rsidRPr="00E443AE">
        <w:rPr>
          <w:rFonts w:cs="Calibri"/>
        </w:rPr>
        <w:t>Уколико је степен ризика незнатан, планира се 1 надзор у току три године</w:t>
      </w:r>
    </w:p>
    <w:p w:rsidR="00CC5199" w:rsidRPr="00E443AE" w:rsidRDefault="00CC5199" w:rsidP="00CC5199">
      <w:pPr>
        <w:pStyle w:val="NoSpacing"/>
        <w:ind w:left="360"/>
        <w:rPr>
          <w:rFonts w:cs="Calibri"/>
        </w:rPr>
      </w:pPr>
    </w:p>
    <w:p w:rsidR="00533E71" w:rsidRPr="00E443AE" w:rsidRDefault="00533E71" w:rsidP="00533E71">
      <w:pPr>
        <w:pStyle w:val="NoSpacing"/>
        <w:rPr>
          <w:rFonts w:cs="Calibri"/>
        </w:rPr>
      </w:pPr>
    </w:p>
    <w:p w:rsidR="00533E71" w:rsidRPr="00E443AE" w:rsidRDefault="009B2C00" w:rsidP="00533E71">
      <w:pPr>
        <w:pStyle w:val="NoSpacing"/>
        <w:rPr>
          <w:rFonts w:cs="Calibri"/>
          <w:color w:val="000000"/>
          <w:lang w:val="sr-Cyrl-CS"/>
        </w:rPr>
      </w:pPr>
      <w:r w:rsidRPr="00E443AE">
        <w:rPr>
          <w:rFonts w:cs="Calibri"/>
          <w:lang w:val="sr-Cyrl-CS"/>
        </w:rPr>
        <w:t>Број привредних друшта</w:t>
      </w:r>
      <w:r w:rsidR="000B0620" w:rsidRPr="00E443AE">
        <w:rPr>
          <w:rFonts w:cs="Calibri"/>
          <w:lang w:val="sr-Cyrl-CS"/>
        </w:rPr>
        <w:t>ва и објеката прем</w:t>
      </w:r>
      <w:r w:rsidR="000B0620" w:rsidRPr="00E443AE">
        <w:rPr>
          <w:rFonts w:cs="Calibri"/>
          <w:color w:val="000000"/>
          <w:lang w:val="sr-Cyrl-CS"/>
        </w:rPr>
        <w:t>а областима</w:t>
      </w:r>
    </w:p>
    <w:p w:rsidR="003E7F62" w:rsidRPr="007E128E" w:rsidRDefault="003E7F62" w:rsidP="00533E71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1432"/>
        <w:gridCol w:w="1098"/>
        <w:gridCol w:w="1455"/>
        <w:gridCol w:w="1611"/>
      </w:tblGrid>
      <w:tr w:rsidR="00E443AE" w:rsidRPr="00E443AE" w:rsidTr="00E443AE">
        <w:trPr>
          <w:jc w:val="center"/>
        </w:trPr>
        <w:tc>
          <w:tcPr>
            <w:tcW w:w="3404" w:type="dxa"/>
            <w:shd w:val="clear" w:color="auto" w:fill="E2EFD9"/>
            <w:vAlign w:val="center"/>
          </w:tcPr>
          <w:p w:rsidR="00533E71" w:rsidRPr="00E443AE" w:rsidRDefault="00533E71" w:rsidP="00D1335A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Тип</w:t>
            </w:r>
          </w:p>
        </w:tc>
        <w:tc>
          <w:tcPr>
            <w:tcW w:w="1432" w:type="dxa"/>
            <w:shd w:val="clear" w:color="auto" w:fill="E2EFD9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Број привредних друштва</w:t>
            </w:r>
          </w:p>
        </w:tc>
        <w:tc>
          <w:tcPr>
            <w:tcW w:w="1098" w:type="dxa"/>
            <w:shd w:val="clear" w:color="auto" w:fill="E2EFD9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Укупан број објеката</w:t>
            </w:r>
          </w:p>
        </w:tc>
        <w:tc>
          <w:tcPr>
            <w:tcW w:w="1455" w:type="dxa"/>
            <w:shd w:val="clear" w:color="auto" w:fill="E2EFD9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Број јамских објеката</w:t>
            </w:r>
          </w:p>
        </w:tc>
        <w:tc>
          <w:tcPr>
            <w:tcW w:w="1611" w:type="dxa"/>
            <w:shd w:val="clear" w:color="auto" w:fill="E2EFD9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Број површинских објеката</w:t>
            </w:r>
          </w:p>
        </w:tc>
      </w:tr>
      <w:tr w:rsidR="00E443AE" w:rsidRPr="00E443AE" w:rsidTr="00E443AE">
        <w:trPr>
          <w:jc w:val="center"/>
        </w:trPr>
        <w:tc>
          <w:tcPr>
            <w:tcW w:w="3404" w:type="dxa"/>
            <w:shd w:val="clear" w:color="auto" w:fill="auto"/>
            <w:vAlign w:val="center"/>
          </w:tcPr>
          <w:p w:rsidR="00533E71" w:rsidRPr="00E443AE" w:rsidRDefault="001B10E2" w:rsidP="00D1335A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Геолошка истраживања при експлоатацији мин</w:t>
            </w:r>
            <w:r w:rsidR="006E25F6" w:rsidRPr="00E443AE">
              <w:rPr>
                <w:rFonts w:cs="Calibri"/>
                <w:sz w:val="20"/>
                <w:szCs w:val="20"/>
              </w:rPr>
              <w:t>ералних сировина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9</w:t>
            </w:r>
          </w:p>
        </w:tc>
      </w:tr>
      <w:tr w:rsidR="00E443AE" w:rsidRPr="00E443AE" w:rsidTr="00E443AE">
        <w:trPr>
          <w:jc w:val="center"/>
        </w:trPr>
        <w:tc>
          <w:tcPr>
            <w:tcW w:w="3404" w:type="dxa"/>
            <w:shd w:val="clear" w:color="auto" w:fill="auto"/>
            <w:vAlign w:val="center"/>
          </w:tcPr>
          <w:p w:rsidR="00533E71" w:rsidRPr="00E443AE" w:rsidRDefault="006E25F6" w:rsidP="00D1335A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геолошка истраживања</w:t>
            </w:r>
            <w:r w:rsidR="00D1335A" w:rsidRPr="00E443AE">
              <w:rPr>
                <w:rFonts w:cs="Calibri"/>
                <w:sz w:val="20"/>
                <w:szCs w:val="20"/>
              </w:rPr>
              <w:t xml:space="preserve"> чврстих минералних сировина,</w:t>
            </w:r>
            <w:r w:rsidR="00FA417D" w:rsidRPr="00E443AE">
              <w:rPr>
                <w:rFonts w:cs="Calibri"/>
                <w:sz w:val="20"/>
                <w:szCs w:val="20"/>
              </w:rPr>
              <w:t xml:space="preserve"> нафте и гаса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  <w:r w:rsidR="007957AB" w:rsidRPr="00E443AE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  <w:r w:rsidR="007957AB" w:rsidRPr="00E443AE">
              <w:rPr>
                <w:rFonts w:cs="Calibri"/>
                <w:sz w:val="20"/>
                <w:szCs w:val="20"/>
              </w:rPr>
              <w:t>3</w:t>
            </w:r>
          </w:p>
        </w:tc>
      </w:tr>
      <w:tr w:rsidR="00E443AE" w:rsidRPr="00E443AE" w:rsidTr="00E443AE">
        <w:trPr>
          <w:jc w:val="center"/>
        </w:trPr>
        <w:tc>
          <w:tcPr>
            <w:tcW w:w="3404" w:type="dxa"/>
            <w:shd w:val="clear" w:color="auto" w:fill="auto"/>
            <w:vAlign w:val="center"/>
          </w:tcPr>
          <w:p w:rsidR="00533E71" w:rsidRPr="00E443AE" w:rsidRDefault="00533E71" w:rsidP="00741004">
            <w:pPr>
              <w:pStyle w:val="NoSpacing"/>
              <w:rPr>
                <w:rFonts w:cs="Calibri"/>
                <w:sz w:val="20"/>
                <w:szCs w:val="20"/>
                <w:lang w:val="sr-Cyrl-CS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хидрогеолошка</w:t>
            </w:r>
            <w:r w:rsidR="00A21B16" w:rsidRPr="00E443AE">
              <w:rPr>
                <w:rFonts w:cs="Calibri"/>
                <w:sz w:val="20"/>
                <w:szCs w:val="20"/>
                <w:lang w:val="sr-Latn-CS"/>
              </w:rPr>
              <w:t xml:space="preserve">, </w:t>
            </w:r>
            <w:r w:rsidR="00A21B16" w:rsidRPr="00E443AE">
              <w:rPr>
                <w:rFonts w:cs="Calibri"/>
                <w:sz w:val="20"/>
                <w:szCs w:val="20"/>
                <w:lang w:val="sr-Cyrl-CS"/>
              </w:rPr>
              <w:t>геотермална</w:t>
            </w:r>
            <w:r w:rsidRPr="00E443AE">
              <w:rPr>
                <w:rFonts w:cs="Calibri"/>
                <w:sz w:val="20"/>
                <w:szCs w:val="20"/>
              </w:rPr>
              <w:t xml:space="preserve"> и инжењерск</w:t>
            </w:r>
            <w:r w:rsidR="00741004" w:rsidRPr="00E443AE">
              <w:rPr>
                <w:rFonts w:cs="Calibri"/>
                <w:sz w:val="20"/>
                <w:szCs w:val="20"/>
              </w:rPr>
              <w:t>огеолошка</w:t>
            </w:r>
            <w:r w:rsidRPr="00E443AE">
              <w:rPr>
                <w:rFonts w:cs="Calibri"/>
                <w:sz w:val="20"/>
                <w:szCs w:val="20"/>
              </w:rPr>
              <w:t xml:space="preserve"> истраживања</w:t>
            </w:r>
            <w:r w:rsidR="00D1335A" w:rsidRPr="00E443AE">
              <w:rPr>
                <w:rFonts w:cs="Calibri"/>
                <w:sz w:val="20"/>
                <w:szCs w:val="20"/>
              </w:rPr>
              <w:t xml:space="preserve">одобрена по чл. 30. </w:t>
            </w:r>
            <w:r w:rsidR="00D1335A" w:rsidRPr="00E443AE">
              <w:rPr>
                <w:rFonts w:cs="Calibri"/>
                <w:sz w:val="20"/>
                <w:szCs w:val="20"/>
                <w:lang w:val="sr-Cyrl-CS"/>
              </w:rPr>
              <w:t>Закона о рударству и геолошким истраживањима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145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33E71" w:rsidRPr="00E443AE" w:rsidRDefault="00366BCF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  <w:r w:rsidR="003E5D95" w:rsidRPr="00E443AE">
              <w:rPr>
                <w:rFonts w:cs="Calibri"/>
                <w:sz w:val="20"/>
                <w:szCs w:val="20"/>
              </w:rPr>
              <w:t>68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533E71" w:rsidRPr="00E443AE" w:rsidRDefault="00366BCF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  <w:r w:rsidR="003E5D95" w:rsidRPr="00E443AE">
              <w:rPr>
                <w:rFonts w:cs="Calibri"/>
                <w:sz w:val="20"/>
                <w:szCs w:val="20"/>
                <w:lang w:val="en-US"/>
              </w:rPr>
              <w:t>68</w:t>
            </w:r>
          </w:p>
        </w:tc>
      </w:tr>
      <w:tr w:rsidR="00E443AE" w:rsidRPr="00E443AE" w:rsidTr="00E443AE">
        <w:trPr>
          <w:jc w:val="center"/>
        </w:trPr>
        <w:tc>
          <w:tcPr>
            <w:tcW w:w="3404" w:type="dxa"/>
            <w:shd w:val="clear" w:color="auto" w:fill="auto"/>
            <w:vAlign w:val="center"/>
          </w:tcPr>
          <w:p w:rsidR="00A21B16" w:rsidRPr="00E443AE" w:rsidRDefault="00A21B16" w:rsidP="00D1335A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хидрогеолошка</w:t>
            </w:r>
            <w:r w:rsidRPr="00E443AE">
              <w:rPr>
                <w:rFonts w:cs="Calibri"/>
                <w:sz w:val="20"/>
                <w:szCs w:val="20"/>
                <w:lang w:val="sr-Latn-CS"/>
              </w:rPr>
              <w:t xml:space="preserve">, </w:t>
            </w:r>
            <w:r w:rsidR="00252EFA" w:rsidRPr="00E443AE">
              <w:rPr>
                <w:rFonts w:cs="Calibri"/>
                <w:sz w:val="20"/>
                <w:szCs w:val="20"/>
                <w:lang w:val="sr-Cyrl-CS"/>
              </w:rPr>
              <w:t>и геотермална истраживања</w:t>
            </w:r>
            <w:r w:rsidR="00D1335A" w:rsidRPr="00E443AE">
              <w:rPr>
                <w:rFonts w:cs="Calibri"/>
                <w:sz w:val="20"/>
                <w:szCs w:val="20"/>
                <w:lang w:val="sr-Cyrl-CS"/>
              </w:rPr>
              <w:t xml:space="preserve"> у циљу испуњења одредби члана</w:t>
            </w:r>
            <w:r w:rsidRPr="00E443AE">
              <w:rPr>
                <w:rFonts w:cs="Calibri"/>
                <w:sz w:val="20"/>
                <w:szCs w:val="20"/>
                <w:lang w:val="sr-Cyrl-CS"/>
              </w:rPr>
              <w:t xml:space="preserve"> 51</w:t>
            </w:r>
            <w:r w:rsidR="008A7D19" w:rsidRPr="00E443AE">
              <w:rPr>
                <w:rFonts w:cs="Calibri"/>
                <w:sz w:val="20"/>
                <w:szCs w:val="20"/>
                <w:lang w:val="sr-Cyrl-CS"/>
              </w:rPr>
              <w:t>. Закона о рударству и геолошким истраживањима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A21B16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E443AE">
              <w:rPr>
                <w:rFonts w:cs="Calibri"/>
                <w:sz w:val="20"/>
                <w:szCs w:val="20"/>
                <w:lang w:val="sr-Cyrl-CS"/>
              </w:rPr>
              <w:t>264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A21B16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E443AE">
              <w:rPr>
                <w:rFonts w:cs="Calibri"/>
                <w:sz w:val="20"/>
                <w:szCs w:val="20"/>
                <w:lang w:val="sr-Cyrl-CS"/>
              </w:rPr>
              <w:t>4</w:t>
            </w:r>
            <w:r w:rsidR="00B9763E" w:rsidRPr="00E443AE">
              <w:rPr>
                <w:rFonts w:cs="Calibri"/>
                <w:sz w:val="20"/>
                <w:szCs w:val="20"/>
                <w:lang w:val="sr-Cyrl-CS"/>
              </w:rPr>
              <w:t>78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A21B16" w:rsidRPr="00E443AE" w:rsidRDefault="00D1335A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A21B16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sr-Latn-CS"/>
              </w:rPr>
            </w:pPr>
            <w:r w:rsidRPr="00E443AE">
              <w:rPr>
                <w:rFonts w:cs="Calibri"/>
                <w:sz w:val="20"/>
                <w:szCs w:val="20"/>
                <w:lang w:val="sr-Latn-CS"/>
              </w:rPr>
              <w:t>4</w:t>
            </w:r>
            <w:r w:rsidR="00B9763E" w:rsidRPr="00E443AE">
              <w:rPr>
                <w:rFonts w:cs="Calibri"/>
                <w:sz w:val="20"/>
                <w:szCs w:val="20"/>
                <w:lang w:val="sr-Latn-CS"/>
              </w:rPr>
              <w:t>78</w:t>
            </w:r>
          </w:p>
        </w:tc>
      </w:tr>
      <w:tr w:rsidR="00E443AE" w:rsidRPr="00E443AE" w:rsidTr="00E443AE">
        <w:trPr>
          <w:jc w:val="center"/>
        </w:trPr>
        <w:tc>
          <w:tcPr>
            <w:tcW w:w="3404" w:type="dxa"/>
            <w:shd w:val="clear" w:color="auto" w:fill="FBE4D5"/>
            <w:vAlign w:val="center"/>
          </w:tcPr>
          <w:p w:rsidR="00E3214F" w:rsidRPr="00E443AE" w:rsidRDefault="00E3214F" w:rsidP="00D1335A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Укупно</w:t>
            </w:r>
          </w:p>
        </w:tc>
        <w:tc>
          <w:tcPr>
            <w:tcW w:w="1432" w:type="dxa"/>
            <w:shd w:val="clear" w:color="auto" w:fill="FBE4D5"/>
            <w:vAlign w:val="center"/>
          </w:tcPr>
          <w:p w:rsidR="00E3214F" w:rsidRPr="00E443AE" w:rsidRDefault="004146FE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419</w:t>
            </w:r>
          </w:p>
        </w:tc>
        <w:tc>
          <w:tcPr>
            <w:tcW w:w="1098" w:type="dxa"/>
            <w:shd w:val="clear" w:color="auto" w:fill="FBE4D5"/>
            <w:vAlign w:val="center"/>
          </w:tcPr>
          <w:p w:rsidR="00E3214F" w:rsidRPr="00E443AE" w:rsidRDefault="004146FE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668</w:t>
            </w:r>
          </w:p>
        </w:tc>
        <w:tc>
          <w:tcPr>
            <w:tcW w:w="1455" w:type="dxa"/>
            <w:shd w:val="clear" w:color="auto" w:fill="FBE4D5"/>
            <w:vAlign w:val="center"/>
          </w:tcPr>
          <w:p w:rsidR="00E3214F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611" w:type="dxa"/>
            <w:shd w:val="clear" w:color="auto" w:fill="FBE4D5"/>
            <w:vAlign w:val="center"/>
          </w:tcPr>
          <w:p w:rsidR="00E3214F" w:rsidRPr="00E443AE" w:rsidRDefault="004146FE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668</w:t>
            </w:r>
          </w:p>
        </w:tc>
      </w:tr>
    </w:tbl>
    <w:p w:rsidR="0096305B" w:rsidRDefault="0096305B" w:rsidP="00533E71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B62A3F" w:rsidRDefault="00B62A3F" w:rsidP="00533E71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533E71" w:rsidRPr="00E443AE" w:rsidRDefault="000B0620" w:rsidP="00533E71">
      <w:pPr>
        <w:pStyle w:val="NoSpacing"/>
        <w:rPr>
          <w:rFonts w:cs="Calibri"/>
          <w:lang w:val="sr-Cyrl-CS"/>
        </w:rPr>
      </w:pPr>
      <w:r w:rsidRPr="00E443AE">
        <w:rPr>
          <w:rFonts w:cs="Calibri"/>
          <w:lang w:val="sr-Cyrl-CS"/>
        </w:rPr>
        <w:t>Број објекат према степену ризика</w:t>
      </w:r>
    </w:p>
    <w:p w:rsidR="00533E71" w:rsidRPr="007E128E" w:rsidRDefault="00533E71" w:rsidP="00533E71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W w:w="99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1166"/>
        <w:gridCol w:w="1048"/>
        <w:gridCol w:w="1027"/>
        <w:gridCol w:w="1064"/>
        <w:gridCol w:w="1214"/>
        <w:gridCol w:w="1124"/>
      </w:tblGrid>
      <w:tr w:rsidR="00E443AE" w:rsidRPr="00E443AE" w:rsidTr="00E443AE">
        <w:tc>
          <w:tcPr>
            <w:tcW w:w="3347" w:type="dxa"/>
            <w:vMerge w:val="restart"/>
            <w:shd w:val="clear" w:color="auto" w:fill="E2EFD9"/>
            <w:vAlign w:val="center"/>
          </w:tcPr>
          <w:p w:rsidR="00533E71" w:rsidRPr="00E443AE" w:rsidRDefault="00533E71" w:rsidP="00533E71">
            <w:pPr>
              <w:pStyle w:val="NoSpacing"/>
              <w:rPr>
                <w:rFonts w:cs="Calibri"/>
                <w:sz w:val="20"/>
                <w:szCs w:val="20"/>
              </w:rPr>
            </w:pPr>
            <w:bookmarkStart w:id="2" w:name="OLE_LINK1"/>
            <w:r w:rsidRPr="00E443AE">
              <w:rPr>
                <w:rFonts w:cs="Calibri"/>
                <w:sz w:val="20"/>
                <w:szCs w:val="20"/>
              </w:rPr>
              <w:t>Врста објекта под надзором</w:t>
            </w:r>
          </w:p>
        </w:tc>
        <w:tc>
          <w:tcPr>
            <w:tcW w:w="5519" w:type="dxa"/>
            <w:gridSpan w:val="5"/>
            <w:shd w:val="clear" w:color="auto" w:fill="E2EFD9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Број објеката по степену ризика</w:t>
            </w:r>
          </w:p>
        </w:tc>
        <w:tc>
          <w:tcPr>
            <w:tcW w:w="1124" w:type="dxa"/>
            <w:vMerge w:val="restart"/>
            <w:shd w:val="clear" w:color="auto" w:fill="E2EFD9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Укупан број објеката</w:t>
            </w:r>
          </w:p>
        </w:tc>
      </w:tr>
      <w:tr w:rsidR="00E443AE" w:rsidRPr="00E443AE" w:rsidTr="00E443AE">
        <w:tc>
          <w:tcPr>
            <w:tcW w:w="3347" w:type="dxa"/>
            <w:vMerge/>
            <w:shd w:val="clear" w:color="auto" w:fill="E2EFD9"/>
          </w:tcPr>
          <w:p w:rsidR="00533E71" w:rsidRPr="00E443AE" w:rsidRDefault="00533E71" w:rsidP="00533E71">
            <w:pPr>
              <w:pStyle w:val="NoSpacing"/>
              <w:rPr>
                <w:rFonts w:cs="Calibri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E2EFD9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Незнатан ризик</w:t>
            </w:r>
          </w:p>
        </w:tc>
        <w:tc>
          <w:tcPr>
            <w:tcW w:w="1048" w:type="dxa"/>
            <w:shd w:val="clear" w:color="auto" w:fill="E2EFD9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Низак ризик</w:t>
            </w:r>
          </w:p>
        </w:tc>
        <w:tc>
          <w:tcPr>
            <w:tcW w:w="1027" w:type="dxa"/>
            <w:shd w:val="clear" w:color="auto" w:fill="E2EFD9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Средњи ризик</w:t>
            </w:r>
          </w:p>
        </w:tc>
        <w:tc>
          <w:tcPr>
            <w:tcW w:w="1064" w:type="dxa"/>
            <w:shd w:val="clear" w:color="auto" w:fill="E2EFD9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Високи ризик</w:t>
            </w:r>
          </w:p>
        </w:tc>
        <w:tc>
          <w:tcPr>
            <w:tcW w:w="1214" w:type="dxa"/>
            <w:shd w:val="clear" w:color="auto" w:fill="E2EFD9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Критичан ризик</w:t>
            </w:r>
          </w:p>
        </w:tc>
        <w:tc>
          <w:tcPr>
            <w:tcW w:w="1124" w:type="dxa"/>
            <w:vMerge/>
            <w:shd w:val="clear" w:color="auto" w:fill="E2EFD9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E443AE" w:rsidRPr="00E443AE" w:rsidTr="00E443AE">
        <w:tc>
          <w:tcPr>
            <w:tcW w:w="3347" w:type="dxa"/>
            <w:shd w:val="clear" w:color="auto" w:fill="auto"/>
          </w:tcPr>
          <w:p w:rsidR="00533E71" w:rsidRPr="00E443AE" w:rsidRDefault="00FA417D" w:rsidP="00533E71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геолошка истраживања при експлоатацији минералних сировина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9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533E71" w:rsidRPr="00E443AE" w:rsidRDefault="008A7D19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9</w:t>
            </w:r>
          </w:p>
        </w:tc>
      </w:tr>
      <w:tr w:rsidR="00E443AE" w:rsidRPr="00E443AE" w:rsidTr="00E443AE">
        <w:tc>
          <w:tcPr>
            <w:tcW w:w="3347" w:type="dxa"/>
            <w:shd w:val="clear" w:color="auto" w:fill="auto"/>
          </w:tcPr>
          <w:p w:rsidR="00533E71" w:rsidRPr="00E443AE" w:rsidRDefault="00FA417D" w:rsidP="00533E71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геолошка истраживања чврстих минералних сировина и нафте и гаса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13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  <w:r w:rsidR="007957AB" w:rsidRPr="00E443AE">
              <w:rPr>
                <w:rFonts w:cs="Calibri"/>
                <w:sz w:val="20"/>
                <w:szCs w:val="20"/>
              </w:rPr>
              <w:t>3</w:t>
            </w:r>
          </w:p>
        </w:tc>
      </w:tr>
      <w:tr w:rsidR="00E443AE" w:rsidRPr="00E443AE" w:rsidTr="00E443AE">
        <w:tc>
          <w:tcPr>
            <w:tcW w:w="3347" w:type="dxa"/>
            <w:shd w:val="clear" w:color="auto" w:fill="auto"/>
          </w:tcPr>
          <w:p w:rsidR="00533E71" w:rsidRPr="00E443AE" w:rsidRDefault="00D1335A" w:rsidP="00741004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хидрогеолошка</w:t>
            </w:r>
            <w:r w:rsidRPr="00E443AE">
              <w:rPr>
                <w:rFonts w:cs="Calibri"/>
                <w:sz w:val="20"/>
                <w:szCs w:val="20"/>
                <w:lang w:val="sr-Latn-CS"/>
              </w:rPr>
              <w:t xml:space="preserve">, </w:t>
            </w:r>
            <w:r w:rsidRPr="00E443AE">
              <w:rPr>
                <w:rFonts w:cs="Calibri"/>
                <w:sz w:val="20"/>
                <w:szCs w:val="20"/>
                <w:lang w:val="sr-Cyrl-CS"/>
              </w:rPr>
              <w:t>геотермална</w:t>
            </w:r>
            <w:r w:rsidRPr="00E443AE">
              <w:rPr>
                <w:rFonts w:cs="Calibri"/>
                <w:sz w:val="20"/>
                <w:szCs w:val="20"/>
              </w:rPr>
              <w:t xml:space="preserve"> и инжењерск</w:t>
            </w:r>
            <w:r w:rsidR="00741004" w:rsidRPr="00E443AE">
              <w:rPr>
                <w:rFonts w:cs="Calibri"/>
                <w:sz w:val="20"/>
                <w:szCs w:val="20"/>
              </w:rPr>
              <w:t>огеолошка</w:t>
            </w:r>
            <w:r w:rsidRPr="00E443AE">
              <w:rPr>
                <w:rFonts w:cs="Calibri"/>
                <w:sz w:val="20"/>
                <w:szCs w:val="20"/>
              </w:rPr>
              <w:t xml:space="preserve"> истраживања одобрена по чл. 30. </w:t>
            </w:r>
            <w:r w:rsidRPr="00E443AE">
              <w:rPr>
                <w:rFonts w:cs="Calibri"/>
                <w:sz w:val="20"/>
                <w:szCs w:val="20"/>
                <w:lang w:val="sr-Cyrl-CS"/>
              </w:rPr>
              <w:t>Закона о рударству и геолошким истраживањима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533E71" w:rsidRPr="00E443AE" w:rsidRDefault="009F18C6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  <w:r w:rsidR="003E5D95" w:rsidRPr="00E443AE">
              <w:rPr>
                <w:rFonts w:cs="Calibri"/>
                <w:sz w:val="20"/>
                <w:szCs w:val="20"/>
                <w:lang w:val="en-US"/>
              </w:rPr>
              <w:t>68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533E71" w:rsidRPr="00E443AE" w:rsidRDefault="00D1335A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E443AE">
              <w:rPr>
                <w:rFonts w:cs="Calibri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33E71" w:rsidRPr="00E443AE" w:rsidRDefault="00366BCF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  <w:r w:rsidR="003E5D95" w:rsidRPr="00E443AE">
              <w:rPr>
                <w:rFonts w:cs="Calibri"/>
                <w:sz w:val="20"/>
                <w:szCs w:val="20"/>
                <w:lang w:val="en-US"/>
              </w:rPr>
              <w:t>68</w:t>
            </w:r>
          </w:p>
        </w:tc>
      </w:tr>
      <w:tr w:rsidR="00E443AE" w:rsidRPr="00E443AE" w:rsidTr="00E443AE">
        <w:tc>
          <w:tcPr>
            <w:tcW w:w="3347" w:type="dxa"/>
            <w:shd w:val="clear" w:color="auto" w:fill="auto"/>
          </w:tcPr>
          <w:p w:rsidR="00533E71" w:rsidRPr="00E443AE" w:rsidRDefault="00D1335A" w:rsidP="00533E71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хидрогеолошка</w:t>
            </w:r>
            <w:r w:rsidRPr="00E443AE">
              <w:rPr>
                <w:rFonts w:cs="Calibri"/>
                <w:sz w:val="20"/>
                <w:szCs w:val="20"/>
                <w:lang w:val="sr-Latn-CS"/>
              </w:rPr>
              <w:t xml:space="preserve">, </w:t>
            </w:r>
            <w:r w:rsidR="00252EFA" w:rsidRPr="00E443AE">
              <w:rPr>
                <w:rFonts w:cs="Calibri"/>
                <w:sz w:val="20"/>
                <w:szCs w:val="20"/>
                <w:lang w:val="sr-Cyrl-CS"/>
              </w:rPr>
              <w:t>и геотермална истраживања</w:t>
            </w:r>
            <w:r w:rsidRPr="00E443AE">
              <w:rPr>
                <w:rFonts w:cs="Calibri"/>
                <w:sz w:val="20"/>
                <w:szCs w:val="20"/>
                <w:lang w:val="sr-Cyrl-CS"/>
              </w:rPr>
              <w:t xml:space="preserve"> у циљу испуњења одредби члана 51. Закона о рударству и геолошким истраживањима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478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533E71" w:rsidRPr="00E443AE" w:rsidRDefault="00366BCF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sr-Latn-CS"/>
              </w:rPr>
            </w:pPr>
            <w:r w:rsidRPr="00E443AE">
              <w:rPr>
                <w:rFonts w:cs="Calibri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533E71" w:rsidRPr="00E443AE" w:rsidRDefault="00D1335A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533E71" w:rsidRPr="00E443AE" w:rsidRDefault="00533E71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E443AE">
              <w:rPr>
                <w:rFonts w:cs="Calibri"/>
                <w:sz w:val="20"/>
                <w:szCs w:val="20"/>
                <w:lang w:val="sr-Cyrl-CS"/>
              </w:rPr>
              <w:t>4</w:t>
            </w:r>
            <w:r w:rsidR="009F18C6" w:rsidRPr="00E443AE">
              <w:rPr>
                <w:rFonts w:cs="Calibri"/>
                <w:sz w:val="20"/>
                <w:szCs w:val="20"/>
                <w:lang w:val="sr-Cyrl-CS"/>
              </w:rPr>
              <w:t>78</w:t>
            </w:r>
          </w:p>
        </w:tc>
      </w:tr>
      <w:tr w:rsidR="00E443AE" w:rsidRPr="00E443AE" w:rsidTr="00E443AE">
        <w:tc>
          <w:tcPr>
            <w:tcW w:w="3347" w:type="dxa"/>
            <w:shd w:val="clear" w:color="auto" w:fill="FBE4D5"/>
          </w:tcPr>
          <w:p w:rsidR="00533E71" w:rsidRPr="00E443AE" w:rsidRDefault="00533E71" w:rsidP="00533E71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Укупно</w:t>
            </w:r>
          </w:p>
        </w:tc>
        <w:tc>
          <w:tcPr>
            <w:tcW w:w="1166" w:type="dxa"/>
            <w:shd w:val="clear" w:color="auto" w:fill="FBE4D5"/>
            <w:vAlign w:val="center"/>
          </w:tcPr>
          <w:p w:rsidR="00533E71" w:rsidRPr="00E443AE" w:rsidRDefault="004146FE" w:rsidP="00E443AE">
            <w:pPr>
              <w:pStyle w:val="NoSpacing"/>
              <w:jc w:val="center"/>
              <w:rPr>
                <w:rFonts w:cs="Calibri"/>
                <w:color w:val="FF0000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BE4D5"/>
            <w:vAlign w:val="center"/>
          </w:tcPr>
          <w:p w:rsidR="00533E71" w:rsidRPr="00E443AE" w:rsidRDefault="004146FE" w:rsidP="00E443AE">
            <w:pPr>
              <w:pStyle w:val="NoSpacing"/>
              <w:jc w:val="center"/>
              <w:rPr>
                <w:rFonts w:cs="Calibri"/>
                <w:color w:val="FF0000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668</w:t>
            </w:r>
          </w:p>
        </w:tc>
        <w:tc>
          <w:tcPr>
            <w:tcW w:w="1027" w:type="dxa"/>
            <w:shd w:val="clear" w:color="auto" w:fill="FBE4D5"/>
            <w:vAlign w:val="center"/>
          </w:tcPr>
          <w:p w:rsidR="00533E71" w:rsidRPr="00E443AE" w:rsidRDefault="004146FE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064" w:type="dxa"/>
            <w:shd w:val="clear" w:color="auto" w:fill="FBE4D5"/>
            <w:vAlign w:val="center"/>
          </w:tcPr>
          <w:p w:rsidR="00533E71" w:rsidRPr="00E443AE" w:rsidRDefault="003E5D95" w:rsidP="00E443AE">
            <w:pPr>
              <w:pStyle w:val="NoSpacing"/>
              <w:jc w:val="center"/>
              <w:rPr>
                <w:rFonts w:cs="Calibri"/>
                <w:sz w:val="20"/>
                <w:szCs w:val="20"/>
                <w:lang w:val="sr-Latn-CS"/>
              </w:rPr>
            </w:pPr>
            <w:r w:rsidRPr="00E443AE">
              <w:rPr>
                <w:rFonts w:cs="Calibri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1214" w:type="dxa"/>
            <w:shd w:val="clear" w:color="auto" w:fill="FBE4D5"/>
            <w:vAlign w:val="center"/>
          </w:tcPr>
          <w:p w:rsidR="00533E71" w:rsidRPr="00E443AE" w:rsidRDefault="004146FE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1124" w:type="dxa"/>
            <w:shd w:val="clear" w:color="auto" w:fill="FBE4D5"/>
            <w:vAlign w:val="center"/>
          </w:tcPr>
          <w:p w:rsidR="00533E71" w:rsidRPr="00E443AE" w:rsidRDefault="004146FE" w:rsidP="00E443AE">
            <w:pPr>
              <w:pStyle w:val="NoSpacing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668</w:t>
            </w:r>
          </w:p>
        </w:tc>
      </w:tr>
      <w:bookmarkEnd w:id="2"/>
    </w:tbl>
    <w:p w:rsidR="00B62A3F" w:rsidRDefault="00B62A3F" w:rsidP="00BA590A">
      <w:pPr>
        <w:pStyle w:val="NoSpacing"/>
        <w:rPr>
          <w:rFonts w:ascii="Times New Roman" w:hAnsi="Times New Roman"/>
          <w:sz w:val="24"/>
          <w:szCs w:val="24"/>
        </w:rPr>
      </w:pPr>
    </w:p>
    <w:p w:rsidR="00CC5199" w:rsidRPr="00E443AE" w:rsidRDefault="000B0620" w:rsidP="00E25F8B">
      <w:pPr>
        <w:pStyle w:val="ListParagraph"/>
        <w:numPr>
          <w:ilvl w:val="0"/>
          <w:numId w:val="13"/>
        </w:numPr>
        <w:spacing w:after="200" w:line="276" w:lineRule="auto"/>
        <w:jc w:val="center"/>
        <w:rPr>
          <w:rFonts w:cs="Calibri"/>
        </w:rPr>
      </w:pPr>
      <w:r w:rsidRPr="00E443AE">
        <w:rPr>
          <w:rFonts w:eastAsia="Times New Roman" w:cs="Calibri"/>
          <w:b/>
        </w:rPr>
        <w:lastRenderedPageBreak/>
        <w:t>П</w:t>
      </w:r>
      <w:r w:rsidR="00E25F8B" w:rsidRPr="00E443AE">
        <w:rPr>
          <w:rFonts w:eastAsia="Times New Roman" w:cs="Calibri"/>
          <w:b/>
        </w:rPr>
        <w:t>РЕГЛЕД НАДЗИРАНИХ СУБЈЕКАТА КОД КОЈИХ ЋЕ СЕ ВРШИТИ ИНСПЕКЦИЈСКИ НАДЗОР , ОДНОСНО ДЕЛАТНОСТИ ИЛИ АКТИВНОСТИ КОЈЕ ЋЕ СЕ НАДЗИРАТИ</w:t>
      </w:r>
    </w:p>
    <w:p w:rsidR="00E25F8B" w:rsidRPr="00E443AE" w:rsidRDefault="00E25F8B" w:rsidP="00E25F8B">
      <w:pPr>
        <w:pStyle w:val="ListParagraph"/>
        <w:spacing w:after="200" w:line="276" w:lineRule="auto"/>
        <w:ind w:left="360"/>
        <w:rPr>
          <w:rFonts w:eastAsia="Times New Roman" w:cs="Calibri"/>
          <w:b/>
        </w:rPr>
      </w:pPr>
    </w:p>
    <w:p w:rsidR="007957AB" w:rsidRPr="00E443AE" w:rsidRDefault="000B0620" w:rsidP="007E128E">
      <w:pPr>
        <w:jc w:val="center"/>
        <w:rPr>
          <w:rFonts w:eastAsia="Times New Roman" w:cs="Calibri"/>
        </w:rPr>
      </w:pPr>
      <w:r w:rsidRPr="00E443AE">
        <w:rPr>
          <w:rFonts w:eastAsia="Times New Roman" w:cs="Calibri"/>
        </w:rPr>
        <w:t>НУМЕРИЧКИ ПРЕГЛЕД  ОБЈЕКАТА ПРЕДВИЂЕНИХ ЗА НАДЗОР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1979"/>
      </w:tblGrid>
      <w:tr w:rsidR="00E443AE" w:rsidRPr="00E443AE" w:rsidTr="00E443AE">
        <w:tc>
          <w:tcPr>
            <w:tcW w:w="7083" w:type="dxa"/>
            <w:shd w:val="clear" w:color="auto" w:fill="E2EFD9"/>
            <w:vAlign w:val="center"/>
          </w:tcPr>
          <w:p w:rsidR="00CC363B" w:rsidRPr="00E443AE" w:rsidRDefault="00CC363B" w:rsidP="00CC363B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Врста објекта под надзором</w:t>
            </w:r>
          </w:p>
        </w:tc>
        <w:tc>
          <w:tcPr>
            <w:tcW w:w="1979" w:type="dxa"/>
            <w:shd w:val="clear" w:color="auto" w:fill="E2EFD9"/>
          </w:tcPr>
          <w:p w:rsidR="00CC363B" w:rsidRPr="00E443AE" w:rsidRDefault="00CC363B" w:rsidP="00E443A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Број објеката</w:t>
            </w:r>
          </w:p>
        </w:tc>
      </w:tr>
      <w:tr w:rsidR="00CC363B" w:rsidRPr="00E443AE" w:rsidTr="00E443AE">
        <w:tc>
          <w:tcPr>
            <w:tcW w:w="7083" w:type="dxa"/>
            <w:shd w:val="clear" w:color="auto" w:fill="auto"/>
          </w:tcPr>
          <w:p w:rsidR="00CC363B" w:rsidRPr="00E443AE" w:rsidRDefault="00CC363B" w:rsidP="00CC363B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геолошка истраживања при експлоатацији минералних сировина</w:t>
            </w:r>
          </w:p>
        </w:tc>
        <w:tc>
          <w:tcPr>
            <w:tcW w:w="1979" w:type="dxa"/>
            <w:shd w:val="clear" w:color="auto" w:fill="auto"/>
          </w:tcPr>
          <w:p w:rsidR="00CC363B" w:rsidRPr="00E443AE" w:rsidRDefault="005C147D" w:rsidP="00E443A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sr-Latn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Latn-CS"/>
              </w:rPr>
              <w:t>9</w:t>
            </w:r>
          </w:p>
        </w:tc>
      </w:tr>
      <w:tr w:rsidR="00CC363B" w:rsidRPr="00E443AE" w:rsidTr="00E443AE">
        <w:tc>
          <w:tcPr>
            <w:tcW w:w="7083" w:type="dxa"/>
            <w:shd w:val="clear" w:color="auto" w:fill="auto"/>
          </w:tcPr>
          <w:p w:rsidR="00CC363B" w:rsidRPr="00E443AE" w:rsidRDefault="00CC363B" w:rsidP="00CC363B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геолошка истражива</w:t>
            </w:r>
            <w:r w:rsidR="00D1335A" w:rsidRPr="00E443AE">
              <w:rPr>
                <w:rFonts w:cs="Calibri"/>
                <w:sz w:val="20"/>
                <w:szCs w:val="20"/>
              </w:rPr>
              <w:t>ња чврстих минералних сировина,</w:t>
            </w:r>
            <w:r w:rsidRPr="00E443AE">
              <w:rPr>
                <w:rFonts w:cs="Calibri"/>
                <w:sz w:val="20"/>
                <w:szCs w:val="20"/>
              </w:rPr>
              <w:t xml:space="preserve"> нафте и гаса</w:t>
            </w:r>
          </w:p>
        </w:tc>
        <w:tc>
          <w:tcPr>
            <w:tcW w:w="1979" w:type="dxa"/>
            <w:shd w:val="clear" w:color="auto" w:fill="auto"/>
          </w:tcPr>
          <w:p w:rsidR="00CC363B" w:rsidRPr="00E443AE" w:rsidRDefault="005C147D" w:rsidP="00E443A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1</w:t>
            </w:r>
            <w:r w:rsidR="00C51468" w:rsidRPr="00E443AE">
              <w:rPr>
                <w:rFonts w:eastAsia="Times New Roman" w:cs="Calibri"/>
                <w:sz w:val="20"/>
                <w:szCs w:val="20"/>
                <w:lang w:val="sr-Cyrl-CS"/>
              </w:rPr>
              <w:t>3</w:t>
            </w:r>
          </w:p>
        </w:tc>
      </w:tr>
      <w:tr w:rsidR="00CC363B" w:rsidRPr="00E443AE" w:rsidTr="00E443AE">
        <w:tc>
          <w:tcPr>
            <w:tcW w:w="7083" w:type="dxa"/>
            <w:shd w:val="clear" w:color="auto" w:fill="auto"/>
          </w:tcPr>
          <w:p w:rsidR="00CC363B" w:rsidRPr="00E443AE" w:rsidRDefault="00D1335A" w:rsidP="00460A06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хидрогеолошка, геотермална и инжењерск</w:t>
            </w:r>
            <w:r w:rsidR="00460A06" w:rsidRPr="00E443AE">
              <w:rPr>
                <w:rFonts w:cs="Calibri"/>
                <w:sz w:val="20"/>
                <w:szCs w:val="20"/>
              </w:rPr>
              <w:t>огеолошка</w:t>
            </w:r>
            <w:r w:rsidRPr="00E443AE">
              <w:rPr>
                <w:rFonts w:cs="Calibri"/>
                <w:sz w:val="20"/>
                <w:szCs w:val="20"/>
              </w:rPr>
              <w:t xml:space="preserve"> истраживања одобрена по чл. 30. Закона о рударству и геолошким истраживањима</w:t>
            </w:r>
          </w:p>
        </w:tc>
        <w:tc>
          <w:tcPr>
            <w:tcW w:w="1979" w:type="dxa"/>
            <w:shd w:val="clear" w:color="auto" w:fill="auto"/>
          </w:tcPr>
          <w:p w:rsidR="00CC363B" w:rsidRPr="00E443AE" w:rsidRDefault="005C147D" w:rsidP="00E443A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16</w:t>
            </w:r>
            <w:r w:rsidR="00131D37" w:rsidRPr="00E443AE">
              <w:rPr>
                <w:rFonts w:eastAsia="Times New Roman" w:cs="Calibri"/>
                <w:sz w:val="20"/>
                <w:szCs w:val="20"/>
                <w:lang w:val="sr-Cyrl-CS"/>
              </w:rPr>
              <w:t>8</w:t>
            </w:r>
          </w:p>
        </w:tc>
      </w:tr>
      <w:tr w:rsidR="00CC363B" w:rsidRPr="00E443AE" w:rsidTr="00E443AE">
        <w:tc>
          <w:tcPr>
            <w:tcW w:w="7083" w:type="dxa"/>
            <w:shd w:val="clear" w:color="auto" w:fill="auto"/>
          </w:tcPr>
          <w:p w:rsidR="00CC363B" w:rsidRPr="00E443AE" w:rsidRDefault="00D1335A" w:rsidP="00CC363B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Примењена хидрогеолошка, и гео</w:t>
            </w:r>
            <w:r w:rsidR="00252EFA" w:rsidRPr="00E443AE">
              <w:rPr>
                <w:rFonts w:cs="Calibri"/>
                <w:sz w:val="20"/>
                <w:szCs w:val="20"/>
              </w:rPr>
              <w:t>термална истраживања</w:t>
            </w:r>
            <w:r w:rsidRPr="00E443AE">
              <w:rPr>
                <w:rFonts w:cs="Calibri"/>
                <w:sz w:val="20"/>
                <w:szCs w:val="20"/>
              </w:rPr>
              <w:t xml:space="preserve"> у циљу испуњења одредби члана 51. Закона о рударству и геолошким истраживањима</w:t>
            </w:r>
          </w:p>
        </w:tc>
        <w:tc>
          <w:tcPr>
            <w:tcW w:w="1979" w:type="dxa"/>
            <w:shd w:val="clear" w:color="auto" w:fill="auto"/>
          </w:tcPr>
          <w:p w:rsidR="00CC363B" w:rsidRPr="00E443AE" w:rsidRDefault="005C147D" w:rsidP="00E443A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478</w:t>
            </w:r>
          </w:p>
        </w:tc>
      </w:tr>
      <w:tr w:rsidR="00E443AE" w:rsidRPr="00E443AE" w:rsidTr="00E443AE">
        <w:tc>
          <w:tcPr>
            <w:tcW w:w="7083" w:type="dxa"/>
            <w:shd w:val="clear" w:color="auto" w:fill="FBE4D5"/>
          </w:tcPr>
          <w:p w:rsidR="00CC363B" w:rsidRPr="00E443AE" w:rsidRDefault="00CC363B" w:rsidP="00CC363B">
            <w:pPr>
              <w:pStyle w:val="NoSpacing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Укупно</w:t>
            </w:r>
          </w:p>
        </w:tc>
        <w:tc>
          <w:tcPr>
            <w:tcW w:w="1979" w:type="dxa"/>
            <w:shd w:val="clear" w:color="auto" w:fill="FBE4D5"/>
          </w:tcPr>
          <w:p w:rsidR="00CC363B" w:rsidRPr="00E443AE" w:rsidRDefault="004146FE" w:rsidP="00E443A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668</w:t>
            </w:r>
          </w:p>
        </w:tc>
      </w:tr>
    </w:tbl>
    <w:p w:rsidR="00BA590A" w:rsidRDefault="00BA590A" w:rsidP="00BA590A">
      <w:pPr>
        <w:pStyle w:val="NoSpacing"/>
        <w:rPr>
          <w:rFonts w:ascii="Times New Roman" w:hAnsi="Times New Roman"/>
          <w:sz w:val="24"/>
          <w:szCs w:val="24"/>
        </w:rPr>
      </w:pPr>
    </w:p>
    <w:p w:rsidR="00CC5199" w:rsidRDefault="00CC5199" w:rsidP="00BA590A">
      <w:pPr>
        <w:pStyle w:val="NoSpacing"/>
        <w:rPr>
          <w:rFonts w:ascii="Times New Roman" w:hAnsi="Times New Roman"/>
          <w:sz w:val="24"/>
          <w:szCs w:val="24"/>
        </w:rPr>
      </w:pPr>
    </w:p>
    <w:p w:rsidR="00E25F8B" w:rsidRPr="007E128E" w:rsidRDefault="00E25F8B" w:rsidP="00BA590A">
      <w:pPr>
        <w:pStyle w:val="NoSpacing"/>
        <w:rPr>
          <w:rFonts w:ascii="Times New Roman" w:hAnsi="Times New Roman"/>
          <w:sz w:val="24"/>
          <w:szCs w:val="24"/>
        </w:rPr>
      </w:pPr>
    </w:p>
    <w:p w:rsidR="00C51468" w:rsidRPr="00E443AE" w:rsidRDefault="00E25F8B" w:rsidP="007E128E">
      <w:pPr>
        <w:pStyle w:val="ListParagraph"/>
        <w:numPr>
          <w:ilvl w:val="0"/>
          <w:numId w:val="13"/>
        </w:numPr>
        <w:tabs>
          <w:tab w:val="left" w:pos="284"/>
        </w:tabs>
        <w:spacing w:after="200" w:line="276" w:lineRule="auto"/>
        <w:ind w:left="0" w:firstLine="0"/>
        <w:jc w:val="center"/>
        <w:rPr>
          <w:rFonts w:cs="Calibri"/>
          <w:u w:val="single"/>
        </w:rPr>
      </w:pPr>
      <w:r w:rsidRPr="00E443AE">
        <w:rPr>
          <w:rFonts w:eastAsia="Times New Roman" w:cs="Calibri"/>
          <w:b/>
        </w:rPr>
        <w:t>ТЕРИТОРИЈАЛНО ПОДРУЧЈЕ НА КОМЕ ЋЕ СЕ ВРШИТИ ИНСПЕКЦИЈСКИ НАДЗОР</w:t>
      </w:r>
    </w:p>
    <w:p w:rsidR="00CC5199" w:rsidRPr="00E443AE" w:rsidRDefault="00CC5199" w:rsidP="00CC5199">
      <w:pPr>
        <w:pStyle w:val="ListParagraph"/>
        <w:tabs>
          <w:tab w:val="left" w:pos="284"/>
        </w:tabs>
        <w:spacing w:after="200" w:line="276" w:lineRule="auto"/>
        <w:ind w:left="0"/>
        <w:rPr>
          <w:rFonts w:cs="Calibri"/>
          <w:u w:val="single"/>
        </w:rPr>
      </w:pPr>
    </w:p>
    <w:p w:rsidR="00D1335A" w:rsidRPr="00E443AE" w:rsidRDefault="00C51468" w:rsidP="00D1335A">
      <w:pPr>
        <w:jc w:val="both"/>
        <w:rPr>
          <w:rFonts w:eastAsia="Times New Roman" w:cs="Calibri"/>
          <w:color w:val="000000"/>
        </w:rPr>
      </w:pPr>
      <w:r w:rsidRPr="00E443AE">
        <w:rPr>
          <w:rFonts w:eastAsia="Times New Roman" w:cs="Calibri"/>
          <w:color w:val="000000"/>
        </w:rPr>
        <w:t xml:space="preserve">Инспекцијски надзор врши надлежно министарство преко инспектора у оквиру делокруга утврђеног законом </w:t>
      </w:r>
      <w:r w:rsidRPr="00E443AE">
        <w:rPr>
          <w:rFonts w:eastAsia="Times New Roman" w:cs="Calibri"/>
        </w:rPr>
        <w:t>на територији Републике Србије</w:t>
      </w:r>
      <w:r w:rsidRPr="00E443AE">
        <w:rPr>
          <w:rFonts w:eastAsia="Times New Roman" w:cs="Calibri"/>
          <w:color w:val="000000"/>
        </w:rPr>
        <w:t>. </w:t>
      </w:r>
    </w:p>
    <w:p w:rsidR="00D1335A" w:rsidRPr="00E443AE" w:rsidRDefault="00D1335A" w:rsidP="00D1335A">
      <w:pPr>
        <w:jc w:val="both"/>
        <w:rPr>
          <w:rFonts w:eastAsia="Times New Roman" w:cs="Calibri"/>
          <w:color w:val="000000"/>
        </w:rPr>
      </w:pPr>
      <w:r w:rsidRPr="00E443AE">
        <w:rPr>
          <w:rFonts w:eastAsia="Times New Roman" w:cs="Calibri"/>
          <w:color w:val="000000"/>
        </w:rPr>
        <w:t>Аутономној покрајини Војводини су Законом о утврђивању надлежности Аутономне Покрајине Војводине (''Сл. Гл</w:t>
      </w:r>
      <w:r w:rsidR="007E128E" w:rsidRPr="00E443AE">
        <w:rPr>
          <w:rFonts w:eastAsia="Times New Roman" w:cs="Calibri"/>
          <w:color w:val="000000"/>
        </w:rPr>
        <w:t>асник РС'' бр 99/2009 и 67/2012</w:t>
      </w:r>
      <w:r w:rsidRPr="00E443AE">
        <w:rPr>
          <w:rFonts w:eastAsia="Times New Roman" w:cs="Calibri"/>
          <w:color w:val="000000"/>
        </w:rPr>
        <w:t>) поверени послови инспекцијског надзора у области геолошких истраживања минералних и других геолошких ресурса.</w:t>
      </w:r>
    </w:p>
    <w:p w:rsidR="00CA2A5E" w:rsidRPr="00E443AE" w:rsidRDefault="004146FE" w:rsidP="00D1335A">
      <w:pPr>
        <w:jc w:val="both"/>
        <w:rPr>
          <w:rFonts w:eastAsia="Times New Roman" w:cs="Calibri"/>
        </w:rPr>
      </w:pPr>
      <w:r w:rsidRPr="00E443AE">
        <w:rPr>
          <w:rFonts w:eastAsia="Times New Roman" w:cs="Calibri"/>
          <w:noProof/>
        </w:rPr>
        <w:t>Р</w:t>
      </w:r>
      <w:r w:rsidR="00CA2A5E" w:rsidRPr="00E443AE">
        <w:rPr>
          <w:rFonts w:eastAsia="Times New Roman" w:cs="Calibri"/>
          <w:noProof/>
        </w:rPr>
        <w:t>епубличка инспекција ће вршити надзор над повереним пословима.</w:t>
      </w:r>
    </w:p>
    <w:p w:rsidR="008679B9" w:rsidRPr="00E443AE" w:rsidRDefault="008679B9" w:rsidP="008679B9">
      <w:pPr>
        <w:rPr>
          <w:rFonts w:cs="Calibri"/>
        </w:rPr>
      </w:pPr>
    </w:p>
    <w:p w:rsidR="00CC5199" w:rsidRPr="00E443AE" w:rsidRDefault="00E25F8B" w:rsidP="00CC5199">
      <w:pPr>
        <w:numPr>
          <w:ilvl w:val="0"/>
          <w:numId w:val="13"/>
        </w:numPr>
        <w:tabs>
          <w:tab w:val="left" w:pos="284"/>
        </w:tabs>
        <w:spacing w:after="200" w:line="276" w:lineRule="auto"/>
        <w:ind w:left="0" w:firstLine="0"/>
        <w:jc w:val="center"/>
        <w:rPr>
          <w:rFonts w:cs="Calibri"/>
        </w:rPr>
      </w:pPr>
      <w:r w:rsidRPr="00E443AE">
        <w:rPr>
          <w:rFonts w:eastAsia="Times New Roman" w:cs="Calibri"/>
          <w:b/>
        </w:rPr>
        <w:t>ПРОЦЕЊЕНИ РИЗИК ЗА НАДЗИРАНЕ СУБЈЕКТЕ, ОДНОСНО ДЕЛАТНОСТИ ИЛИ АКТИВНОСТИ КОЈЕ ЋЕ СЕ НАДЗИРАТИ ИЛИ ТЕРИТОРИЈАЛНО ПОДРУЧЈЕ И ДРУГУ ТЕРИТОРИЈАЛНУ И СЛИЧНУ ЦЕЛИНУ, ОБЈЕКАТ И ГРУПЕ ОБЈЕКАТА</w:t>
      </w:r>
    </w:p>
    <w:p w:rsidR="00104BEE" w:rsidRPr="00E443AE" w:rsidRDefault="00104BEE" w:rsidP="00104BEE">
      <w:pPr>
        <w:spacing w:after="200" w:line="276" w:lineRule="auto"/>
        <w:jc w:val="both"/>
        <w:rPr>
          <w:rFonts w:cs="Calibri"/>
        </w:rPr>
      </w:pPr>
      <w:r w:rsidRPr="00E443AE">
        <w:rPr>
          <w:rFonts w:cs="Calibri"/>
        </w:rPr>
        <w:t>Процена ризика се врши ради планирања оквирног минималног броја редовних инспекцијских надзора и саветодавних посета.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1276"/>
        <w:gridCol w:w="1417"/>
        <w:gridCol w:w="1560"/>
        <w:gridCol w:w="1701"/>
        <w:gridCol w:w="1984"/>
      </w:tblGrid>
      <w:tr w:rsidR="00FE5479" w:rsidRPr="00E443AE" w:rsidTr="00E443AE">
        <w:trPr>
          <w:trHeight w:val="244"/>
        </w:trPr>
        <w:tc>
          <w:tcPr>
            <w:tcW w:w="9776" w:type="dxa"/>
            <w:gridSpan w:val="6"/>
            <w:shd w:val="clear" w:color="auto" w:fill="E2EFD9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БРОЈ НАДЗОРА У ОДНОСУ НА СТЕПЕН РИЗИКА</w:t>
            </w:r>
          </w:p>
        </w:tc>
      </w:tr>
      <w:tr w:rsidR="00FE5479" w:rsidRPr="00E443AE" w:rsidTr="00FE5479">
        <w:trPr>
          <w:trHeight w:val="364"/>
        </w:trPr>
        <w:tc>
          <w:tcPr>
            <w:tcW w:w="1838" w:type="dxa"/>
            <w:shd w:val="clear" w:color="auto" w:fill="auto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Степен ризика</w:t>
            </w:r>
          </w:p>
        </w:tc>
        <w:tc>
          <w:tcPr>
            <w:tcW w:w="1276" w:type="dxa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незнатан</w:t>
            </w:r>
          </w:p>
        </w:tc>
        <w:tc>
          <w:tcPr>
            <w:tcW w:w="1417" w:type="dxa"/>
            <w:shd w:val="clear" w:color="auto" w:fill="auto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низак</w:t>
            </w:r>
          </w:p>
        </w:tc>
        <w:tc>
          <w:tcPr>
            <w:tcW w:w="1560" w:type="dxa"/>
            <w:shd w:val="clear" w:color="auto" w:fill="auto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средњи</w:t>
            </w:r>
          </w:p>
        </w:tc>
        <w:tc>
          <w:tcPr>
            <w:tcW w:w="1701" w:type="dxa"/>
            <w:shd w:val="clear" w:color="auto" w:fill="auto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висок</w:t>
            </w:r>
          </w:p>
        </w:tc>
        <w:tc>
          <w:tcPr>
            <w:tcW w:w="1984" w:type="dxa"/>
            <w:shd w:val="clear" w:color="auto" w:fill="auto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критичан</w:t>
            </w:r>
          </w:p>
        </w:tc>
      </w:tr>
      <w:tr w:rsidR="00FE5479" w:rsidRPr="00E443AE" w:rsidTr="00FE5479">
        <w:tc>
          <w:tcPr>
            <w:tcW w:w="1838" w:type="dxa"/>
            <w:shd w:val="clear" w:color="auto" w:fill="auto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Број бодова</w:t>
            </w:r>
          </w:p>
        </w:tc>
        <w:tc>
          <w:tcPr>
            <w:tcW w:w="1276" w:type="dxa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1-2</w:t>
            </w:r>
          </w:p>
        </w:tc>
        <w:tc>
          <w:tcPr>
            <w:tcW w:w="1417" w:type="dxa"/>
            <w:shd w:val="clear" w:color="auto" w:fill="auto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3-5</w:t>
            </w:r>
          </w:p>
        </w:tc>
        <w:tc>
          <w:tcPr>
            <w:tcW w:w="1560" w:type="dxa"/>
            <w:shd w:val="clear" w:color="auto" w:fill="auto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6-9</w:t>
            </w:r>
          </w:p>
        </w:tc>
        <w:tc>
          <w:tcPr>
            <w:tcW w:w="1701" w:type="dxa"/>
            <w:shd w:val="clear" w:color="auto" w:fill="auto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10-16</w:t>
            </w:r>
          </w:p>
        </w:tc>
        <w:tc>
          <w:tcPr>
            <w:tcW w:w="1984" w:type="dxa"/>
            <w:shd w:val="clear" w:color="auto" w:fill="auto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Gungsuh" w:cs="Calibri"/>
                <w:sz w:val="20"/>
                <w:szCs w:val="20"/>
                <w:lang w:val="sr-Cyrl-CS"/>
              </w:rPr>
              <w:t>16-25</w:t>
            </w:r>
          </w:p>
        </w:tc>
      </w:tr>
      <w:tr w:rsidR="00FE5479" w:rsidRPr="00E443AE" w:rsidTr="00FE5479">
        <w:trPr>
          <w:trHeight w:val="533"/>
        </w:trPr>
        <w:tc>
          <w:tcPr>
            <w:tcW w:w="1838" w:type="dxa"/>
            <w:shd w:val="clear" w:color="auto" w:fill="auto"/>
          </w:tcPr>
          <w:p w:rsidR="00FE5479" w:rsidRPr="00E443AE" w:rsidRDefault="00FE5479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Учесталост инспекција</w:t>
            </w:r>
          </w:p>
        </w:tc>
        <w:tc>
          <w:tcPr>
            <w:tcW w:w="1276" w:type="dxa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једном у три године</w:t>
            </w:r>
          </w:p>
        </w:tc>
        <w:tc>
          <w:tcPr>
            <w:tcW w:w="1417" w:type="dxa"/>
            <w:shd w:val="clear" w:color="auto" w:fill="auto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једном у две године</w:t>
            </w:r>
          </w:p>
        </w:tc>
        <w:tc>
          <w:tcPr>
            <w:tcW w:w="1560" w:type="dxa"/>
            <w:shd w:val="clear" w:color="auto" w:fill="auto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најмање један пут годишње</w:t>
            </w:r>
          </w:p>
        </w:tc>
        <w:tc>
          <w:tcPr>
            <w:tcW w:w="1701" w:type="dxa"/>
            <w:shd w:val="clear" w:color="auto" w:fill="auto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најмање један пут годишње</w:t>
            </w:r>
          </w:p>
        </w:tc>
        <w:tc>
          <w:tcPr>
            <w:tcW w:w="1984" w:type="dxa"/>
            <w:shd w:val="clear" w:color="auto" w:fill="auto"/>
          </w:tcPr>
          <w:p w:rsidR="00FE5479" w:rsidRPr="00E443AE" w:rsidRDefault="00276CEE" w:rsidP="004E46B3">
            <w:pPr>
              <w:spacing w:after="20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најмање два пута годишње</w:t>
            </w:r>
          </w:p>
        </w:tc>
      </w:tr>
    </w:tbl>
    <w:p w:rsidR="00CC5199" w:rsidRDefault="00CC5199" w:rsidP="00104BEE">
      <w:pPr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52EFA" w:rsidRPr="00E443AE" w:rsidRDefault="00252EFA" w:rsidP="00104BEE">
      <w:pPr>
        <w:spacing w:after="200" w:line="276" w:lineRule="auto"/>
        <w:jc w:val="both"/>
        <w:rPr>
          <w:rFonts w:cs="Calibri"/>
          <w:lang w:val="sr-Cyrl-CS"/>
        </w:rPr>
      </w:pPr>
      <w:r w:rsidRPr="00E443AE">
        <w:rPr>
          <w:rFonts w:cs="Calibri"/>
          <w:lang w:val="sr-Cyrl-CS"/>
        </w:rPr>
        <w:t>Делатности односно активности које су предмет надзора</w:t>
      </w:r>
      <w:r w:rsidR="00E25F8B" w:rsidRPr="00E443AE">
        <w:rPr>
          <w:rFonts w:cs="Calibri"/>
          <w:lang w:val="sr-Cyrl-CS"/>
        </w:rPr>
        <w:t>:</w:t>
      </w:r>
    </w:p>
    <w:p w:rsidR="00CC5199" w:rsidRPr="00E443AE" w:rsidRDefault="00252EFA" w:rsidP="00E25F8B">
      <w:pPr>
        <w:numPr>
          <w:ilvl w:val="0"/>
          <w:numId w:val="10"/>
        </w:numPr>
        <w:spacing w:after="0" w:line="276" w:lineRule="auto"/>
        <w:jc w:val="both"/>
        <w:rPr>
          <w:rFonts w:cs="Calibri"/>
        </w:rPr>
      </w:pPr>
      <w:r w:rsidRPr="00E443AE">
        <w:rPr>
          <w:rFonts w:cs="Calibri"/>
        </w:rPr>
        <w:lastRenderedPageBreak/>
        <w:t xml:space="preserve">Контрола објеката </w:t>
      </w:r>
      <w:r w:rsidRPr="00E443AE">
        <w:rPr>
          <w:rFonts w:cs="Calibri"/>
          <w:lang w:val="sr-Cyrl-CS"/>
        </w:rPr>
        <w:t>на којима се изводи експлоатација минералне сировине у погледу израде геолошке документације (књиге о резервама) и извођења примењених геолошких истраживања на експлоатационом пољу</w:t>
      </w:r>
    </w:p>
    <w:p w:rsidR="00252EFA" w:rsidRPr="00E443AE" w:rsidRDefault="00252EFA" w:rsidP="00CA2A5E">
      <w:pPr>
        <w:numPr>
          <w:ilvl w:val="0"/>
          <w:numId w:val="10"/>
        </w:numPr>
        <w:spacing w:after="0" w:line="276" w:lineRule="auto"/>
        <w:jc w:val="both"/>
        <w:rPr>
          <w:rFonts w:cs="Calibri"/>
        </w:rPr>
      </w:pPr>
      <w:r w:rsidRPr="00E443AE">
        <w:rPr>
          <w:rFonts w:cs="Calibri"/>
        </w:rPr>
        <w:t xml:space="preserve">Контрола </w:t>
      </w:r>
      <w:r w:rsidRPr="00E443AE">
        <w:rPr>
          <w:rFonts w:cs="Calibri"/>
          <w:lang w:val="sr-Cyrl-CS"/>
        </w:rPr>
        <w:t>објеката на којима се изводе примењена геолошка истраживања на одобреном истражном простору</w:t>
      </w:r>
    </w:p>
    <w:p w:rsidR="00CC5199" w:rsidRPr="00E443AE" w:rsidRDefault="00CC5199" w:rsidP="00E25F8B">
      <w:pPr>
        <w:spacing w:after="0" w:line="276" w:lineRule="auto"/>
        <w:jc w:val="both"/>
        <w:rPr>
          <w:rFonts w:cs="Calibri"/>
        </w:rPr>
      </w:pPr>
    </w:p>
    <w:p w:rsidR="00252EFA" w:rsidRPr="00E443AE" w:rsidRDefault="00252EFA" w:rsidP="00CA2A5E">
      <w:pPr>
        <w:numPr>
          <w:ilvl w:val="0"/>
          <w:numId w:val="10"/>
        </w:numPr>
        <w:spacing w:after="0" w:line="276" w:lineRule="auto"/>
        <w:jc w:val="both"/>
        <w:rPr>
          <w:rFonts w:cs="Calibri"/>
        </w:rPr>
      </w:pPr>
      <w:r w:rsidRPr="00E443AE">
        <w:rPr>
          <w:rFonts w:cs="Calibri"/>
          <w:lang w:val="sr-Cyrl-CS"/>
        </w:rPr>
        <w:t>Контрола објекта на којима се изводи примењена хидргеолошка, геотермална и инжењерск</w:t>
      </w:r>
      <w:r w:rsidR="00741004" w:rsidRPr="00E443AE">
        <w:rPr>
          <w:rFonts w:cs="Calibri"/>
          <w:lang w:val="sr-Cyrl-CS"/>
        </w:rPr>
        <w:t>огеолошка</w:t>
      </w:r>
      <w:r w:rsidRPr="00E443AE">
        <w:rPr>
          <w:rFonts w:cs="Calibri"/>
          <w:lang w:val="sr-Cyrl-CS"/>
        </w:rPr>
        <w:t xml:space="preserve"> истраживања на одобреним истражним просторима</w:t>
      </w:r>
    </w:p>
    <w:p w:rsidR="00CC5199" w:rsidRPr="00E443AE" w:rsidRDefault="00CC5199" w:rsidP="00CC5199">
      <w:pPr>
        <w:spacing w:after="0" w:line="276" w:lineRule="auto"/>
        <w:ind w:left="720"/>
        <w:jc w:val="both"/>
        <w:rPr>
          <w:rFonts w:cs="Calibri"/>
        </w:rPr>
      </w:pPr>
    </w:p>
    <w:p w:rsidR="00252EFA" w:rsidRPr="00E443AE" w:rsidRDefault="00252EFA" w:rsidP="00CA2A5E">
      <w:pPr>
        <w:numPr>
          <w:ilvl w:val="0"/>
          <w:numId w:val="10"/>
        </w:numPr>
        <w:spacing w:after="0" w:line="276" w:lineRule="auto"/>
        <w:jc w:val="both"/>
        <w:rPr>
          <w:rFonts w:cs="Calibri"/>
        </w:rPr>
      </w:pPr>
      <w:r w:rsidRPr="00E443AE">
        <w:rPr>
          <w:rFonts w:cs="Calibri"/>
          <w:lang w:val="sr-Cyrl-CS"/>
        </w:rPr>
        <w:t>Контрола објекта за које има издата потврда о утврђеним и овереним резервама подземих вода и геотермалних ресурса који су у обавези да иновирају потврду о резервама</w:t>
      </w:r>
    </w:p>
    <w:p w:rsidR="00CC5199" w:rsidRPr="00E443AE" w:rsidRDefault="00CC5199" w:rsidP="00E25F8B">
      <w:pPr>
        <w:spacing w:after="0" w:line="276" w:lineRule="auto"/>
        <w:jc w:val="both"/>
        <w:rPr>
          <w:rFonts w:cs="Calibri"/>
        </w:rPr>
      </w:pPr>
    </w:p>
    <w:p w:rsidR="00CC5199" w:rsidRPr="00E443AE" w:rsidRDefault="00CC5199" w:rsidP="00CC5199">
      <w:pPr>
        <w:spacing w:after="0" w:line="276" w:lineRule="auto"/>
        <w:ind w:left="720"/>
        <w:jc w:val="both"/>
        <w:rPr>
          <w:rFonts w:cs="Calibri"/>
        </w:rPr>
      </w:pPr>
    </w:p>
    <w:p w:rsidR="00CC5199" w:rsidRPr="00E443AE" w:rsidRDefault="00252EFA" w:rsidP="00104BEE">
      <w:pPr>
        <w:spacing w:after="200" w:line="276" w:lineRule="auto"/>
        <w:jc w:val="both"/>
        <w:rPr>
          <w:rFonts w:cs="Calibri"/>
          <w:lang w:val="sr-Cyrl-CS"/>
        </w:rPr>
      </w:pPr>
      <w:r w:rsidRPr="00E443AE">
        <w:rPr>
          <w:rFonts w:cs="Calibri"/>
          <w:lang w:val="sr-Cyrl-CS"/>
        </w:rPr>
        <w:t>Број надзора у односу на област инспекцијског надзора и процену ризика</w:t>
      </w: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005"/>
        <w:gridCol w:w="1681"/>
        <w:gridCol w:w="2088"/>
      </w:tblGrid>
      <w:tr w:rsidR="00104BEE" w:rsidRPr="00E443AE" w:rsidTr="00E443AE">
        <w:tc>
          <w:tcPr>
            <w:tcW w:w="2802" w:type="dxa"/>
            <w:shd w:val="clear" w:color="auto" w:fill="E2EFD9"/>
            <w:vAlign w:val="center"/>
          </w:tcPr>
          <w:p w:rsidR="00104BEE" w:rsidRPr="00E443AE" w:rsidRDefault="00104BEE" w:rsidP="004E46B3">
            <w:pPr>
              <w:jc w:val="center"/>
              <w:rPr>
                <w:rFonts w:eastAsia="Times New Roman" w:cs="Calibri"/>
              </w:rPr>
            </w:pPr>
            <w:r w:rsidRPr="00E443AE">
              <w:rPr>
                <w:rFonts w:eastAsia="Times New Roman" w:cs="Calibri"/>
              </w:rPr>
              <w:t>Врста</w:t>
            </w:r>
          </w:p>
        </w:tc>
        <w:tc>
          <w:tcPr>
            <w:tcW w:w="3005" w:type="dxa"/>
            <w:shd w:val="clear" w:color="auto" w:fill="E2EFD9"/>
            <w:vAlign w:val="center"/>
          </w:tcPr>
          <w:p w:rsidR="00104BEE" w:rsidRPr="00E443AE" w:rsidRDefault="00104BEE" w:rsidP="004E46B3">
            <w:pPr>
              <w:jc w:val="center"/>
              <w:rPr>
                <w:rFonts w:eastAsia="Times New Roman" w:cs="Calibri"/>
              </w:rPr>
            </w:pPr>
            <w:r w:rsidRPr="00E443AE">
              <w:rPr>
                <w:rFonts w:eastAsia="Times New Roman" w:cs="Calibri"/>
              </w:rPr>
              <w:t>Активности</w:t>
            </w:r>
          </w:p>
        </w:tc>
        <w:tc>
          <w:tcPr>
            <w:tcW w:w="1681" w:type="dxa"/>
            <w:shd w:val="clear" w:color="auto" w:fill="E2EFD9"/>
            <w:vAlign w:val="center"/>
          </w:tcPr>
          <w:p w:rsidR="00104BEE" w:rsidRPr="00E443AE" w:rsidRDefault="00104BEE" w:rsidP="004E46B3">
            <w:pPr>
              <w:jc w:val="center"/>
              <w:rPr>
                <w:rFonts w:eastAsia="Times New Roman" w:cs="Calibri"/>
              </w:rPr>
            </w:pPr>
            <w:r w:rsidRPr="00E443AE">
              <w:rPr>
                <w:rFonts w:eastAsia="Times New Roman" w:cs="Calibri"/>
              </w:rPr>
              <w:t>Период обављања</w:t>
            </w:r>
          </w:p>
        </w:tc>
        <w:tc>
          <w:tcPr>
            <w:tcW w:w="2088" w:type="dxa"/>
            <w:shd w:val="clear" w:color="auto" w:fill="E2EFD9"/>
            <w:vAlign w:val="center"/>
          </w:tcPr>
          <w:p w:rsidR="00104BEE" w:rsidRPr="00E443AE" w:rsidRDefault="00104BEE" w:rsidP="004E46B3">
            <w:pPr>
              <w:jc w:val="center"/>
              <w:rPr>
                <w:rFonts w:eastAsia="Times New Roman" w:cs="Calibri"/>
              </w:rPr>
            </w:pPr>
            <w:r w:rsidRPr="00E443AE">
              <w:rPr>
                <w:rFonts w:eastAsia="Times New Roman" w:cs="Calibri"/>
              </w:rPr>
              <w:t>Учесталост</w:t>
            </w:r>
          </w:p>
        </w:tc>
      </w:tr>
      <w:tr w:rsidR="005C147D" w:rsidRPr="00E443AE" w:rsidTr="004E46B3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</w:rPr>
              <w:t xml:space="preserve">Контрола </w:t>
            </w:r>
            <w:r w:rsidRPr="00E443AE">
              <w:rPr>
                <w:rFonts w:eastAsia="Times New Roman" w:cs="Calibri"/>
                <w:lang w:val="sr-Cyrl-CS"/>
              </w:rPr>
              <w:t>примењених геолошких истраживања при експлоатацији минералних сировина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</w:rPr>
              <w:t>Контрола да ли се уредно води геолошка документација и изводе геолошка истраживања у складу са пројектом геолошких истраживања</w:t>
            </w:r>
            <w:r w:rsidRPr="00E443AE">
              <w:rPr>
                <w:rFonts w:eastAsia="Times New Roman" w:cs="Calibri"/>
                <w:lang w:val="sr-Cyrl-CS"/>
              </w:rPr>
              <w:t xml:space="preserve"> на експлоатационом пољу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</w:rPr>
            </w:pPr>
            <w:r w:rsidRPr="00E443AE">
              <w:rPr>
                <w:rFonts w:eastAsia="Times New Roman" w:cs="Calibri"/>
              </w:rPr>
              <w:t>Током целе године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jc w:val="center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</w:rPr>
              <w:t>1</w:t>
            </w:r>
            <w:r w:rsidRPr="00E443AE">
              <w:rPr>
                <w:rFonts w:eastAsia="Times New Roman" w:cs="Calibri"/>
                <w:lang w:val="sr-Cyrl-CS"/>
              </w:rPr>
              <w:t xml:space="preserve"> пута годишње или 1 пута у 2 године у зависнсти од степена ризика</w:t>
            </w:r>
          </w:p>
        </w:tc>
      </w:tr>
      <w:tr w:rsidR="005C147D" w:rsidRPr="00E443AE" w:rsidTr="004E46B3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Контрола примењених геолошких истраживања минералних сировина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Контрола да ли се изводе примењена геолошка истраживања према одобреном пројекту на истражном пољу и да ли се примењују мере безбедности и здравља на раду при извођењу радова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Током целе године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jc w:val="center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1 пута годишње</w:t>
            </w:r>
          </w:p>
        </w:tc>
      </w:tr>
      <w:tr w:rsidR="005C147D" w:rsidRPr="00E443AE" w:rsidTr="004E46B3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</w:rPr>
              <w:t>Контрола примењених хидрогеолошких, геотермалних и инжењерскиогеолошких истраживања одобрена по чл. 30. Закона о рударству и геолошким истраживањима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Контрола да ли се истраживања изводе у складу са одобреном пројектном документацијом и да ли се примењују мере безбедности и здравља на раду при извођењу радова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Током целе године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jc w:val="center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1 пута у две  године</w:t>
            </w:r>
          </w:p>
          <w:p w:rsidR="005C147D" w:rsidRPr="00E443AE" w:rsidRDefault="005C147D" w:rsidP="005C147D">
            <w:pPr>
              <w:spacing w:after="0"/>
              <w:jc w:val="center"/>
              <w:rPr>
                <w:rFonts w:eastAsia="Times New Roman" w:cs="Calibri"/>
                <w:color w:val="FF0000"/>
                <w:lang w:val="sr-Cyrl-CS"/>
              </w:rPr>
            </w:pPr>
          </w:p>
        </w:tc>
      </w:tr>
      <w:tr w:rsidR="005C147D" w:rsidRPr="00E443AE" w:rsidTr="004E46B3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cs="Calibri"/>
              </w:rPr>
              <w:t xml:space="preserve">Контрола примењених хидрогеолошких, геотермалних истраживања у циљу испуњења одредби члана 51. Закона о рударству и </w:t>
            </w:r>
            <w:r w:rsidRPr="00E443AE">
              <w:rPr>
                <w:rFonts w:cs="Calibri"/>
              </w:rPr>
              <w:lastRenderedPageBreak/>
              <w:t>геолошким истраживањима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lastRenderedPageBreak/>
              <w:t>Контрола субјеката да ли у складу са законом врше истраживања у циљу обнове потврде о резервама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Током целе године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47D" w:rsidRPr="00E443AE" w:rsidRDefault="005C147D" w:rsidP="005C147D">
            <w:pPr>
              <w:spacing w:after="0"/>
              <w:jc w:val="center"/>
              <w:rPr>
                <w:rFonts w:eastAsia="Times New Roman" w:cs="Calibri"/>
                <w:lang w:val="sr-Cyrl-CS"/>
              </w:rPr>
            </w:pPr>
            <w:r w:rsidRPr="00E443AE">
              <w:rPr>
                <w:rFonts w:eastAsia="Times New Roman" w:cs="Calibri"/>
                <w:lang w:val="sr-Cyrl-CS"/>
              </w:rPr>
              <w:t>1 пута у 3 године</w:t>
            </w:r>
          </w:p>
        </w:tc>
      </w:tr>
    </w:tbl>
    <w:p w:rsidR="00AC25D4" w:rsidRDefault="00AC25D4" w:rsidP="007E128E">
      <w:pPr>
        <w:spacing w:after="120" w:line="240" w:lineRule="auto"/>
        <w:ind w:firstLine="720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A3278" w:rsidRPr="00E443AE" w:rsidRDefault="00E25F8B" w:rsidP="00E25F8B">
      <w:pPr>
        <w:pStyle w:val="ListParagraph"/>
        <w:numPr>
          <w:ilvl w:val="0"/>
          <w:numId w:val="13"/>
        </w:numPr>
        <w:spacing w:after="120" w:line="240" w:lineRule="auto"/>
        <w:jc w:val="center"/>
        <w:rPr>
          <w:rFonts w:eastAsia="Times New Roman" w:cs="Calibri"/>
          <w:b/>
          <w:color w:val="000000"/>
        </w:rPr>
      </w:pPr>
      <w:r w:rsidRPr="00E443AE">
        <w:rPr>
          <w:rFonts w:eastAsia="Times New Roman" w:cs="Calibri"/>
          <w:b/>
          <w:color w:val="000000"/>
        </w:rPr>
        <w:t>ПЕРИОД У КОМЕ ЋЕ СЕ ВРШИТИ ИНСПЕКЦИЈСКИ НАДЗОР</w:t>
      </w:r>
    </w:p>
    <w:p w:rsidR="00CC5199" w:rsidRPr="00E443AE" w:rsidRDefault="00CC5199" w:rsidP="00CC5199">
      <w:pPr>
        <w:spacing w:after="120" w:line="240" w:lineRule="auto"/>
        <w:rPr>
          <w:rFonts w:eastAsia="Times New Roman" w:cs="Calibri"/>
          <w:color w:val="000000"/>
        </w:rPr>
      </w:pPr>
    </w:p>
    <w:p w:rsidR="004A3278" w:rsidRPr="00E443AE" w:rsidRDefault="004A3278" w:rsidP="004A3278">
      <w:pPr>
        <w:spacing w:after="120" w:line="240" w:lineRule="auto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Редовни инспекцијски надзор вршиће се радним данима у радном времену надзираног субјекта. Због учесталих подношења представки од стране физичких и правних лица планира се већи број ванредних инспекцијских надзора.</w:t>
      </w:r>
    </w:p>
    <w:p w:rsidR="00CC5199" w:rsidRPr="00E443AE" w:rsidRDefault="00CC5199" w:rsidP="004A3278">
      <w:pPr>
        <w:spacing w:after="120" w:line="240" w:lineRule="auto"/>
        <w:jc w:val="both"/>
        <w:rPr>
          <w:rFonts w:eastAsia="Times New Roman" w:cs="Calibri"/>
        </w:rPr>
      </w:pPr>
    </w:p>
    <w:p w:rsidR="00CC5199" w:rsidRPr="00E443AE" w:rsidRDefault="004A3278" w:rsidP="004A3278">
      <w:pPr>
        <w:spacing w:after="0" w:line="240" w:lineRule="auto"/>
        <w:ind w:right="879"/>
        <w:jc w:val="both"/>
        <w:rPr>
          <w:rFonts w:eastAsia="Times New Roman" w:cs="Calibri"/>
        </w:rPr>
      </w:pPr>
      <w:r w:rsidRPr="00E443AE">
        <w:rPr>
          <w:rFonts w:eastAsia="Times New Roman" w:cs="Calibri"/>
        </w:rPr>
        <w:t>Планирани период вршења инспекцијског надзора по кварталима:</w:t>
      </w:r>
    </w:p>
    <w:p w:rsidR="00CC5199" w:rsidRDefault="00CC5199" w:rsidP="004A3278">
      <w:pPr>
        <w:spacing w:after="0" w:line="240" w:lineRule="auto"/>
        <w:ind w:right="879"/>
        <w:jc w:val="both"/>
        <w:rPr>
          <w:rFonts w:ascii="Times New Roman" w:eastAsia="Times New Roman" w:hAnsi="Times New Roman"/>
          <w:sz w:val="24"/>
          <w:szCs w:val="24"/>
        </w:rPr>
      </w:pPr>
    </w:p>
    <w:p w:rsidR="00CC5199" w:rsidRPr="007E128E" w:rsidRDefault="00CC5199" w:rsidP="004A3278">
      <w:pPr>
        <w:spacing w:after="0" w:line="240" w:lineRule="auto"/>
        <w:ind w:right="87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49" w:type="dxa"/>
        <w:tblLayout w:type="fixed"/>
        <w:tblLook w:val="0000" w:firstRow="0" w:lastRow="0" w:firstColumn="0" w:lastColumn="0" w:noHBand="0" w:noVBand="0"/>
      </w:tblPr>
      <w:tblGrid>
        <w:gridCol w:w="3184"/>
        <w:gridCol w:w="537"/>
        <w:gridCol w:w="600"/>
        <w:gridCol w:w="537"/>
        <w:gridCol w:w="498"/>
        <w:gridCol w:w="498"/>
        <w:gridCol w:w="500"/>
        <w:gridCol w:w="498"/>
        <w:gridCol w:w="498"/>
        <w:gridCol w:w="500"/>
        <w:gridCol w:w="498"/>
        <w:gridCol w:w="498"/>
        <w:gridCol w:w="503"/>
      </w:tblGrid>
      <w:tr w:rsidR="004A3278" w:rsidRPr="00E443AE" w:rsidTr="00E443AE">
        <w:trPr>
          <w:trHeight w:val="264"/>
        </w:trPr>
        <w:tc>
          <w:tcPr>
            <w:tcW w:w="31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FD9"/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</w:rPr>
              <w:t>АКТИВНОСТИ</w:t>
            </w:r>
          </w:p>
        </w:tc>
        <w:tc>
          <w:tcPr>
            <w:tcW w:w="1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</w:rPr>
              <w:t>I КВАРТАЛ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</w:rPr>
              <w:t>II КВАРТАЛ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</w:rPr>
              <w:t>III КВАРТАЛ</w:t>
            </w:r>
          </w:p>
        </w:tc>
        <w:tc>
          <w:tcPr>
            <w:tcW w:w="14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</w:rPr>
              <w:t>IV КВАРТАЛ</w:t>
            </w:r>
          </w:p>
        </w:tc>
      </w:tr>
      <w:tr w:rsidR="004A3278" w:rsidRPr="00E443AE" w:rsidTr="00E443AE">
        <w:trPr>
          <w:trHeight w:val="1134"/>
        </w:trPr>
        <w:tc>
          <w:tcPr>
            <w:tcW w:w="318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FD9"/>
            <w:vAlign w:val="center"/>
          </w:tcPr>
          <w:p w:rsidR="004A3278" w:rsidRPr="00E443AE" w:rsidRDefault="004A3278" w:rsidP="004A32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Јануар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Фебруар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Апррил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Мај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Јун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Јул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Октобар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Новембар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4A3278" w:rsidRPr="00E443AE" w:rsidRDefault="004A3278" w:rsidP="004A3278">
            <w:pPr>
              <w:spacing w:after="0" w:line="240" w:lineRule="auto"/>
              <w:ind w:left="113" w:right="113"/>
              <w:jc w:val="both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Децембар</w:t>
            </w:r>
          </w:p>
        </w:tc>
      </w:tr>
      <w:tr w:rsidR="004A3278" w:rsidRPr="00E443AE" w:rsidTr="00CB66FF">
        <w:trPr>
          <w:trHeight w:val="310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 xml:space="preserve">Инспекцијски надзор нерегистрованих субјеката 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</w:tr>
      <w:tr w:rsidR="004A3278" w:rsidRPr="00E443AE" w:rsidTr="00CB66FF">
        <w:trPr>
          <w:trHeight w:val="73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278" w:rsidRPr="00E443AE" w:rsidRDefault="00B12419" w:rsidP="004A3278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 xml:space="preserve">Контрола </w:t>
            </w: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  <w:t>примењених геолошких истраживања при експлоатацији минералних сировина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</w:tr>
      <w:tr w:rsidR="00CB66FF" w:rsidRPr="00E443AE" w:rsidTr="00CB66FF">
        <w:trPr>
          <w:trHeight w:val="610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Контрола примењених геолошких истраживања минералних сировина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</w:tr>
      <w:tr w:rsidR="004A3278" w:rsidRPr="00E443AE" w:rsidTr="00CB66FF">
        <w:trPr>
          <w:trHeight w:val="596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CB66FF" w:rsidP="004A3278">
            <w:pPr>
              <w:spacing w:after="0" w:line="240" w:lineRule="auto"/>
              <w:rPr>
                <w:rFonts w:cs="Calibri"/>
                <w:color w:val="FF0000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  <w:lang w:val="sr-Cyrl-CS"/>
              </w:rPr>
              <w:t>Контола примењених, хидрогеолошких, геотермалних и инжењерских истраживања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</w:tr>
      <w:tr w:rsidR="00CB66FF" w:rsidRPr="00E443AE" w:rsidTr="00CB66FF">
        <w:trPr>
          <w:trHeight w:val="596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Контрола хидрогеолошких</w:t>
            </w:r>
            <w:r w:rsidRPr="00E443AE">
              <w:rPr>
                <w:rFonts w:eastAsia="Times New Roman" w:cs="Calibri"/>
                <w:sz w:val="20"/>
                <w:szCs w:val="20"/>
                <w:lang w:val="sr-Latn-CS"/>
              </w:rPr>
              <w:t xml:space="preserve">, </w:t>
            </w: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и геотермална истраживања по члану 51. Закона о рударству и геолошким истраживањима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</w:tr>
      <w:tr w:rsidR="00CB66FF" w:rsidRPr="00E443AE" w:rsidTr="00CB66FF">
        <w:trPr>
          <w:trHeight w:val="596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</w:rPr>
              <w:t>Контролни и допунски инспекцијски надзори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</w:tr>
      <w:tr w:rsidR="004A3278" w:rsidRPr="00E443AE" w:rsidTr="00CB66FF">
        <w:trPr>
          <w:trHeight w:val="363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278" w:rsidRPr="00E443AE" w:rsidRDefault="00CB66FF" w:rsidP="004A3278">
            <w:pPr>
              <w:spacing w:after="0" w:line="240" w:lineRule="auto"/>
              <w:rPr>
                <w:rFonts w:cs="Calibri"/>
                <w:sz w:val="20"/>
                <w:szCs w:val="20"/>
                <w:lang w:val="sr-Cyrl-CS"/>
              </w:rPr>
            </w:pPr>
            <w:r w:rsidRPr="00E443AE">
              <w:rPr>
                <w:rFonts w:cs="Calibri"/>
                <w:sz w:val="20"/>
                <w:szCs w:val="20"/>
                <w:lang w:val="sr-Cyrl-CS"/>
              </w:rPr>
              <w:t>Саветодавне посете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</w:tr>
      <w:tr w:rsidR="00CB66FF" w:rsidRPr="00E443AE" w:rsidTr="00CB66FF">
        <w:trPr>
          <w:trHeight w:val="363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cs="Calibri"/>
                <w:sz w:val="20"/>
                <w:szCs w:val="20"/>
                <w:lang w:val="sr-Cyrl-CS"/>
              </w:rPr>
            </w:pPr>
            <w:r w:rsidRPr="00E443AE">
              <w:rPr>
                <w:rFonts w:cs="Calibri"/>
                <w:sz w:val="20"/>
                <w:szCs w:val="20"/>
                <w:lang w:val="sr-Cyrl-CS"/>
              </w:rPr>
              <w:t>Ванредни инспекцијски надзори по представкама и увиђаји смрних, групних повреда и акцидената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</w:tr>
      <w:tr w:rsidR="004A3278" w:rsidRPr="00E443AE" w:rsidTr="00F43B59">
        <w:trPr>
          <w:trHeight w:val="691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278" w:rsidRPr="00E443AE" w:rsidRDefault="004A3278" w:rsidP="00CB66F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 xml:space="preserve">Заједнички инспекцијски </w:t>
            </w:r>
            <w:r w:rsidR="00CB66FF" w:rsidRPr="00E443AE">
              <w:rPr>
                <w:rFonts w:eastAsia="Times New Roman" w:cs="Calibri"/>
                <w:sz w:val="20"/>
                <w:szCs w:val="20"/>
              </w:rPr>
              <w:t xml:space="preserve">надзори са другим инспекцијама 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color w:val="C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color w:val="C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color w:val="C00000"/>
                <w:sz w:val="20"/>
                <w:szCs w:val="20"/>
                <w:lang w:val="sr-Latn-CS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5475C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sr-Latn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Latn-CS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5475C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5475C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5475C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5475C" w:rsidP="004A327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x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color w:val="C0000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3278" w:rsidRPr="00E443AE" w:rsidRDefault="004A3278" w:rsidP="004A3278">
            <w:pPr>
              <w:spacing w:after="0" w:line="240" w:lineRule="auto"/>
              <w:jc w:val="center"/>
              <w:rPr>
                <w:rFonts w:eastAsia="Times New Roman" w:cs="Calibri"/>
                <w:color w:val="C00000"/>
                <w:sz w:val="20"/>
                <w:szCs w:val="20"/>
              </w:rPr>
            </w:pPr>
          </w:p>
        </w:tc>
      </w:tr>
    </w:tbl>
    <w:p w:rsidR="0045475C" w:rsidRDefault="0045475C" w:rsidP="00A52E86">
      <w:pPr>
        <w:jc w:val="both"/>
        <w:rPr>
          <w:rFonts w:ascii="Times New Roman" w:hAnsi="Times New Roman"/>
          <w:color w:val="0070C0"/>
          <w:sz w:val="24"/>
          <w:szCs w:val="24"/>
          <w:highlight w:val="yellow"/>
        </w:rPr>
      </w:pPr>
    </w:p>
    <w:p w:rsidR="00B62A3F" w:rsidRPr="00E443AE" w:rsidRDefault="0045475C" w:rsidP="00A52E86">
      <w:pPr>
        <w:jc w:val="both"/>
        <w:rPr>
          <w:rFonts w:cs="Calibri"/>
          <w:lang w:val="sr-Cyrl-CS"/>
        </w:rPr>
      </w:pPr>
      <w:r w:rsidRPr="00E443AE">
        <w:rPr>
          <w:rFonts w:cs="Calibri"/>
          <w:lang w:val="sr-Cyrl-CS"/>
        </w:rPr>
        <w:t xml:space="preserve">Геолошка инспекција </w:t>
      </w:r>
      <w:r w:rsidR="00E25F8B" w:rsidRPr="00E443AE">
        <w:rPr>
          <w:rFonts w:cs="Calibri"/>
          <w:lang w:val="sr-Cyrl-CS"/>
        </w:rPr>
        <w:t xml:space="preserve">је </w:t>
      </w:r>
      <w:r w:rsidRPr="00E443AE">
        <w:rPr>
          <w:rFonts w:cs="Calibri"/>
          <w:lang w:val="sr-Cyrl-CS"/>
        </w:rPr>
        <w:t xml:space="preserve">у саставу Радне групе за заштиту природних ресурса –Координационе комисије за инспекцијски надзор. У оквири Радне групе за заштиту природних ресурса геолошка </w:t>
      </w:r>
      <w:r w:rsidRPr="00E443AE">
        <w:rPr>
          <w:rFonts w:cs="Calibri"/>
          <w:lang w:val="sr-Cyrl-CS"/>
        </w:rPr>
        <w:lastRenderedPageBreak/>
        <w:t>инспекција ко</w:t>
      </w:r>
      <w:r w:rsidR="0090544A" w:rsidRPr="00E443AE">
        <w:rPr>
          <w:rFonts w:cs="Calibri"/>
          <w:lang w:val="sr-Cyrl-CS"/>
        </w:rPr>
        <w:t>о</w:t>
      </w:r>
      <w:r w:rsidRPr="00E443AE">
        <w:rPr>
          <w:rFonts w:cs="Calibri"/>
          <w:lang w:val="sr-Cyrl-CS"/>
        </w:rPr>
        <w:t>рдинисаће са инспекцијом за заштиту животне средине и водном инспекцијом  у циљу спровођења заједничких инспекцијских надзора</w:t>
      </w:r>
      <w:r w:rsidR="0090544A" w:rsidRPr="00E443AE">
        <w:rPr>
          <w:rFonts w:cs="Calibri"/>
          <w:lang w:val="sr-Cyrl-CS"/>
        </w:rPr>
        <w:t>.</w:t>
      </w:r>
    </w:p>
    <w:p w:rsidR="00B62A3F" w:rsidRPr="00E443AE" w:rsidRDefault="00B62A3F" w:rsidP="00A52E86">
      <w:pPr>
        <w:jc w:val="both"/>
        <w:rPr>
          <w:rFonts w:cs="Calibri"/>
          <w:lang w:val="sr-Cyrl-CS"/>
        </w:rPr>
      </w:pPr>
    </w:p>
    <w:p w:rsidR="00CB66FF" w:rsidRPr="00E443AE" w:rsidRDefault="00E25F8B" w:rsidP="00E25F8B">
      <w:pPr>
        <w:pStyle w:val="ListParagraph"/>
        <w:numPr>
          <w:ilvl w:val="0"/>
          <w:numId w:val="13"/>
        </w:numPr>
        <w:tabs>
          <w:tab w:val="left" w:pos="284"/>
        </w:tabs>
        <w:jc w:val="center"/>
        <w:rPr>
          <w:rFonts w:cs="Calibri"/>
          <w:b/>
          <w:lang w:val="en-US"/>
        </w:rPr>
      </w:pPr>
      <w:r w:rsidRPr="00E443AE">
        <w:rPr>
          <w:rFonts w:cs="Calibri"/>
          <w:b/>
          <w:lang w:val="en-US"/>
        </w:rPr>
        <w:t>ИНФОРМАЦИЈЕ О ОБЛИЦИМА ИНСПЕКЦИЈСКОГ НАДЗОРА КОЈИ ЋЕ СЕ ВРШИТИ</w:t>
      </w:r>
    </w:p>
    <w:p w:rsidR="00CC5199" w:rsidRPr="00E443AE" w:rsidRDefault="00CC5199" w:rsidP="00CC5199">
      <w:pPr>
        <w:tabs>
          <w:tab w:val="left" w:pos="284"/>
        </w:tabs>
        <w:rPr>
          <w:rFonts w:cs="Calibri"/>
          <w:u w:val="single"/>
          <w:lang w:val="en-US"/>
        </w:rPr>
      </w:pPr>
    </w:p>
    <w:p w:rsidR="00CB66FF" w:rsidRPr="00E443AE" w:rsidRDefault="00CB66FF" w:rsidP="006B5180">
      <w:pPr>
        <w:jc w:val="both"/>
        <w:rPr>
          <w:rFonts w:cs="Calibri"/>
          <w:lang w:val="en-US"/>
        </w:rPr>
      </w:pPr>
      <w:r w:rsidRPr="00E443AE">
        <w:rPr>
          <w:rFonts w:cs="Calibri"/>
          <w:lang w:val="en-US"/>
        </w:rPr>
        <w:t xml:space="preserve">У току 2021. године инспектори Одељења </w:t>
      </w:r>
      <w:r w:rsidRPr="00E443AE">
        <w:rPr>
          <w:rFonts w:cs="Calibri"/>
          <w:lang w:val="sr-Cyrl-CS"/>
        </w:rPr>
        <w:t>геолошке инспекције</w:t>
      </w:r>
      <w:r w:rsidRPr="00E443AE">
        <w:rPr>
          <w:rFonts w:cs="Calibri"/>
          <w:lang w:val="en-US"/>
        </w:rPr>
        <w:t xml:space="preserve"> вршиће теренски и канцеларијски инспекцијски надзор. Теренски инспекцијски надзор ће се вршити изван службених просторија инспекције, на лицу места, а канцеларијски надзор ће се вршити у службеним просторијама инспекције, увидом у акте, податке и достављену документацију надзираног субјекта. Који облик надзора ће се спроводити зависиће од конкретне ситуације и сложености предмета, на основу процене поступајућег инспектора, те се унапред не утврђују правила у вези са обликом надзора. Након утврђивања облика надзора следи обавезна припрема и анализа времена које је потребно за вршење инспекцијског надзора</w:t>
      </w:r>
    </w:p>
    <w:p w:rsidR="003E7F62" w:rsidRPr="00E443AE" w:rsidRDefault="003E7F62" w:rsidP="007E128E">
      <w:pPr>
        <w:ind w:firstLine="720"/>
        <w:rPr>
          <w:rFonts w:cs="Calibri"/>
          <w:b/>
          <w:lang w:val="en-US"/>
        </w:rPr>
      </w:pPr>
    </w:p>
    <w:p w:rsidR="00CB66FF" w:rsidRPr="00E443AE" w:rsidRDefault="00E25F8B" w:rsidP="00E25F8B">
      <w:pPr>
        <w:ind w:firstLine="720"/>
        <w:jc w:val="center"/>
        <w:rPr>
          <w:rFonts w:cs="Calibri"/>
          <w:lang w:val="en-US"/>
        </w:rPr>
      </w:pPr>
      <w:r w:rsidRPr="00E443AE">
        <w:rPr>
          <w:rFonts w:cs="Calibri"/>
          <w:b/>
          <w:lang w:val="en-US"/>
        </w:rPr>
        <w:t>9. ПОДАЦИ О РЕСУРСИМА ИНСПЕКЦИЈЕ КОЈИ ЋЕ БИТИ ОПРЕДЕЉЕНИ ЗА ВРШЕЊЕ ИНСПЕКЦИЈСКОГ НАДЗОРА</w:t>
      </w:r>
      <w:r w:rsidRPr="00E443AE">
        <w:rPr>
          <w:rFonts w:cs="Calibri"/>
          <w:lang w:val="en-US"/>
        </w:rPr>
        <w:t>.</w:t>
      </w:r>
    </w:p>
    <w:p w:rsidR="003E7F62" w:rsidRPr="00E443AE" w:rsidRDefault="003E7F62" w:rsidP="00CB66FF">
      <w:pPr>
        <w:rPr>
          <w:rFonts w:cs="Calibri"/>
          <w:i/>
          <w:lang w:val="en-US"/>
        </w:rPr>
      </w:pPr>
    </w:p>
    <w:p w:rsidR="00CB66FF" w:rsidRPr="00E443AE" w:rsidRDefault="00CB66FF" w:rsidP="00CB66FF">
      <w:pPr>
        <w:rPr>
          <w:rFonts w:cs="Calibri"/>
          <w:i/>
          <w:lang w:val="en-US"/>
        </w:rPr>
      </w:pPr>
      <w:r w:rsidRPr="00E443AE">
        <w:rPr>
          <w:rFonts w:cs="Calibri"/>
          <w:i/>
          <w:lang w:val="en-US"/>
        </w:rPr>
        <w:t>Процена броја дана на годишњем нивиу на активностима које инспектори проведу ван редовног инспекцијског надзора субјеката</w:t>
      </w:r>
    </w:p>
    <w:p w:rsidR="00E25F8B" w:rsidRPr="00E443AE" w:rsidRDefault="00E25F8B" w:rsidP="00CB66FF">
      <w:pPr>
        <w:rPr>
          <w:rFonts w:cs="Calibri"/>
          <w:lang w:val="en-US"/>
        </w:rPr>
      </w:pPr>
    </w:p>
    <w:tbl>
      <w:tblPr>
        <w:tblW w:w="9204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6086"/>
        <w:gridCol w:w="1548"/>
        <w:gridCol w:w="1570"/>
      </w:tblGrid>
      <w:tr w:rsidR="008679B9" w:rsidRPr="00E443AE" w:rsidTr="00E443AE">
        <w:trPr>
          <w:trHeight w:val="283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8679B9" w:rsidRPr="00E443AE" w:rsidRDefault="008679B9" w:rsidP="004A3278">
            <w:pPr>
              <w:spacing w:after="0"/>
              <w:ind w:right="100"/>
              <w:jc w:val="right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 xml:space="preserve">Инспектор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8679B9" w:rsidRPr="00E443AE" w:rsidRDefault="008679B9" w:rsidP="004A3278">
            <w:pPr>
              <w:spacing w:after="0"/>
              <w:ind w:right="99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Укупно дана</w:t>
            </w:r>
          </w:p>
        </w:tc>
      </w:tr>
      <w:tr w:rsidR="008679B9" w:rsidRPr="00E443AE" w:rsidTr="002331D5">
        <w:trPr>
          <w:trHeight w:val="281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 xml:space="preserve">Укупан број дана у години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  <w:lang w:val="sr-Latn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36</w:t>
            </w:r>
            <w:r w:rsidRPr="00E443AE">
              <w:rPr>
                <w:rFonts w:eastAsia="Times New Roman" w:cs="Calibri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AC25D4" w:rsidP="004A3278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730</w:t>
            </w:r>
          </w:p>
        </w:tc>
      </w:tr>
      <w:tr w:rsidR="008679B9" w:rsidRPr="00E443AE" w:rsidTr="002331D5">
        <w:trPr>
          <w:trHeight w:val="283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 xml:space="preserve">Викенди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104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AC25D4" w:rsidP="004A3278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208</w:t>
            </w:r>
          </w:p>
        </w:tc>
      </w:tr>
      <w:tr w:rsidR="008679B9" w:rsidRPr="00E443AE" w:rsidTr="002331D5">
        <w:trPr>
          <w:trHeight w:val="283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 xml:space="preserve">Годишњи одмори 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D24B41" w:rsidP="004A3278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AC25D4" w:rsidP="004A3278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60</w:t>
            </w:r>
          </w:p>
        </w:tc>
      </w:tr>
      <w:tr w:rsidR="008679B9" w:rsidRPr="00E443AE" w:rsidTr="002331D5">
        <w:trPr>
          <w:trHeight w:val="281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 xml:space="preserve">Празници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D24B41" w:rsidP="004A3278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AC25D4" w:rsidP="004A3278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16</w:t>
            </w:r>
          </w:p>
        </w:tc>
      </w:tr>
      <w:tr w:rsidR="008679B9" w:rsidRPr="00E443AE" w:rsidTr="002331D5">
        <w:trPr>
          <w:trHeight w:val="283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 xml:space="preserve">Укупан број радних дана 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D24B41" w:rsidP="004A3278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>223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AC25D4" w:rsidP="004A3278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446</w:t>
            </w:r>
          </w:p>
        </w:tc>
      </w:tr>
      <w:tr w:rsidR="008679B9" w:rsidRPr="00E443AE" w:rsidTr="002331D5">
        <w:trPr>
          <w:trHeight w:val="55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 xml:space="preserve">Актвности праћења стања, процене ризика, планирања, усклађивања и координације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9B9" w:rsidRPr="00E443AE" w:rsidRDefault="00896B87" w:rsidP="004A3278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sz w:val="20"/>
                <w:szCs w:val="20"/>
                <w:lang w:val="en-US"/>
              </w:rPr>
              <w:t>27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9B9" w:rsidRPr="00E443AE" w:rsidRDefault="0012305B" w:rsidP="00896B87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5</w:t>
            </w:r>
            <w:r w:rsidR="00896B87">
              <w:rPr>
                <w:rFonts w:eastAsia="Times New Roman" w:cs="Calibri"/>
                <w:sz w:val="20"/>
                <w:szCs w:val="20"/>
              </w:rPr>
              <w:t>4</w:t>
            </w:r>
          </w:p>
        </w:tc>
      </w:tr>
      <w:tr w:rsidR="008679B9" w:rsidRPr="00E443AE" w:rsidTr="002331D5">
        <w:trPr>
          <w:trHeight w:val="554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Редовни и ванредни инспекцијски надзор и превентивно деловање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9B9" w:rsidRPr="00E443AE" w:rsidRDefault="0012305B" w:rsidP="004A3278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sz w:val="20"/>
                <w:szCs w:val="20"/>
                <w:lang w:val="en-US"/>
              </w:rPr>
              <w:t>134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79B9" w:rsidRPr="00E443AE" w:rsidRDefault="0012305B" w:rsidP="004A3278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268</w:t>
            </w:r>
          </w:p>
        </w:tc>
      </w:tr>
      <w:tr w:rsidR="008679B9" w:rsidRPr="00E443AE" w:rsidTr="002331D5">
        <w:trPr>
          <w:trHeight w:val="283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Од тога редовни инспекцијски надзор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12305B" w:rsidP="00A159D3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sz w:val="20"/>
                <w:szCs w:val="20"/>
                <w:lang w:val="en-US"/>
              </w:rPr>
              <w:t>60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12305B" w:rsidP="00A159D3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120</w:t>
            </w:r>
          </w:p>
        </w:tc>
      </w:tr>
      <w:tr w:rsidR="008679B9" w:rsidRPr="00E443AE" w:rsidTr="002331D5">
        <w:trPr>
          <w:trHeight w:val="283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679B9" w:rsidP="004A3278">
            <w:pPr>
              <w:spacing w:after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sr-Cyrl-CS"/>
              </w:rPr>
              <w:t xml:space="preserve">Остале активности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96B87" w:rsidP="004A3278">
            <w:pPr>
              <w:spacing w:after="0"/>
              <w:ind w:right="50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62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9B9" w:rsidRPr="00E443AE" w:rsidRDefault="00896B87" w:rsidP="004A3278">
            <w:pPr>
              <w:spacing w:after="0"/>
              <w:ind w:right="48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124</w:t>
            </w:r>
          </w:p>
        </w:tc>
      </w:tr>
    </w:tbl>
    <w:p w:rsidR="00CB66FF" w:rsidRPr="007E128E" w:rsidRDefault="00CB66FF" w:rsidP="00CB66FF">
      <w:pPr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0012BD" w:rsidRPr="00E443AE" w:rsidRDefault="00CB66FF" w:rsidP="000012B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720"/>
        <w:rPr>
          <w:rFonts w:eastAsia="Times New Roman" w:cs="Calibri"/>
          <w:i/>
          <w:color w:val="000000"/>
          <w:lang w:val="en-US"/>
        </w:rPr>
      </w:pPr>
      <w:r w:rsidRPr="00E443AE">
        <w:rPr>
          <w:rFonts w:eastAsia="Times New Roman" w:cs="Calibri"/>
          <w:i/>
          <w:color w:val="000000"/>
          <w:lang w:val="en-US"/>
        </w:rPr>
        <w:t xml:space="preserve">Израчунавање ефективног броја дана које сваки инспектор има на годишњем нивоу за </w:t>
      </w:r>
    </w:p>
    <w:p w:rsidR="00CB66FF" w:rsidRPr="00E443AE" w:rsidRDefault="00CB66FF" w:rsidP="000012B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720"/>
        <w:rPr>
          <w:rFonts w:eastAsia="Times New Roman" w:cs="Calibri"/>
          <w:i/>
          <w:color w:val="000000"/>
          <w:lang w:val="en-US"/>
        </w:rPr>
      </w:pPr>
      <w:r w:rsidRPr="00E443AE">
        <w:rPr>
          <w:rFonts w:eastAsia="Times New Roman" w:cs="Calibri"/>
          <w:i/>
          <w:color w:val="000000"/>
          <w:lang w:val="en-US"/>
        </w:rPr>
        <w:t>потребе инспекцијског надзора</w:t>
      </w:r>
    </w:p>
    <w:p w:rsidR="00E25F8B" w:rsidRPr="00E443AE" w:rsidRDefault="00E25F8B" w:rsidP="000012B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720"/>
        <w:rPr>
          <w:rFonts w:eastAsia="Times New Roman" w:cs="Calibri"/>
          <w:i/>
          <w:color w:val="000000"/>
          <w:lang w:val="en-US"/>
        </w:rPr>
      </w:pPr>
    </w:p>
    <w:p w:rsidR="00205DC9" w:rsidRPr="00E443AE" w:rsidRDefault="00205DC9" w:rsidP="000012B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hanging="720"/>
        <w:rPr>
          <w:rFonts w:eastAsia="Times New Roman" w:cs="Calibri"/>
          <w:color w:val="000000"/>
          <w:lang w:val="en-US"/>
        </w:rPr>
      </w:pPr>
    </w:p>
    <w:tbl>
      <w:tblPr>
        <w:tblW w:w="9131" w:type="dxa"/>
        <w:tblLayout w:type="fixed"/>
        <w:tblLook w:val="0000" w:firstRow="0" w:lastRow="0" w:firstColumn="0" w:lastColumn="0" w:noHBand="0" w:noVBand="0"/>
      </w:tblPr>
      <w:tblGrid>
        <w:gridCol w:w="4565"/>
        <w:gridCol w:w="2283"/>
        <w:gridCol w:w="2283"/>
      </w:tblGrid>
      <w:tr w:rsidR="00CB66FF" w:rsidRPr="00E443AE" w:rsidTr="00E443AE">
        <w:trPr>
          <w:trHeight w:val="229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</w:tcPr>
          <w:p w:rsidR="00CB66FF" w:rsidRPr="00E443AE" w:rsidRDefault="00CB66FF" w:rsidP="00CB66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>Послови и активности</w:t>
            </w:r>
          </w:p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CB66FF" w:rsidRPr="00E443AE" w:rsidRDefault="00CB66FF" w:rsidP="00CB66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>Предвиђен утрошак времена (у данима)</w:t>
            </w:r>
          </w:p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CB66FF" w:rsidRPr="00E443AE" w:rsidTr="00E443AE">
        <w:trPr>
          <w:trHeight w:val="232"/>
        </w:trPr>
        <w:tc>
          <w:tcPr>
            <w:tcW w:w="9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lastRenderedPageBreak/>
              <w:t xml:space="preserve">I. ПРАЋЕЊЕ СТАЊА, ПРОЦЕНА РИЗИКА, ПЛАНИРАЊЕ, УСКЛАЂИВАЊЕ И КООРДИНАЦИЈА ИНСПЕКЦИЈСКОГ НАДЗОРА </w:t>
            </w:r>
          </w:p>
        </w:tc>
      </w:tr>
      <w:tr w:rsidR="00CB66FF" w:rsidRPr="00E443AE" w:rsidTr="00366BCF">
        <w:trPr>
          <w:trHeight w:val="103"/>
        </w:trPr>
        <w:tc>
          <w:tcPr>
            <w:tcW w:w="6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Праћење </w:t>
            </w:r>
            <w:r w:rsidR="009421E7"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стања и процена ризика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03285E" w:rsidP="00896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720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 xml:space="preserve">               </w:t>
            </w:r>
            <w:r w:rsidR="00896B87">
              <w:rPr>
                <w:rFonts w:eastAsia="Times New Roman" w:cs="Calibri"/>
                <w:sz w:val="20"/>
                <w:szCs w:val="20"/>
                <w:lang w:val="en-US"/>
              </w:rPr>
              <w:t>27</w:t>
            </w:r>
          </w:p>
        </w:tc>
      </w:tr>
      <w:tr w:rsidR="00CB66FF" w:rsidRPr="00E443AE" w:rsidTr="009421E7">
        <w:trPr>
          <w:trHeight w:val="278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Израда плана инспекцијског надзора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942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72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AC25D4" w:rsidP="00896B87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1</w:t>
            </w:r>
            <w:r w:rsidR="00896B87">
              <w:rPr>
                <w:rFonts w:eastAsia="Times New Roman" w:cs="Calibri"/>
                <w:sz w:val="20"/>
                <w:szCs w:val="20"/>
              </w:rPr>
              <w:t>4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Усклађивање и координација инспекцијског надзора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CB66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72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896B87" w:rsidP="00CA563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13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9421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Укупно I: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66FF" w:rsidRPr="00E443AE" w:rsidRDefault="00CB66FF" w:rsidP="00942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72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896B87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54</w:t>
            </w:r>
          </w:p>
        </w:tc>
      </w:tr>
      <w:tr w:rsidR="00CB66FF" w:rsidRPr="00E443AE" w:rsidTr="00E443AE">
        <w:trPr>
          <w:trHeight w:val="103"/>
        </w:trPr>
        <w:tc>
          <w:tcPr>
            <w:tcW w:w="9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 xml:space="preserve">II. РЕДОВНИ И ВАНРЕДНИ ИНСПЕКЦИЈСКИ НАДЗОР И ПРЕВЕНТИВНО ДЕЛОВАЊЕ 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Превентивно деловање инспекције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12305B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sz w:val="20"/>
                <w:szCs w:val="20"/>
                <w:lang w:val="en-US"/>
              </w:rPr>
              <w:t>3</w:t>
            </w:r>
            <w:r w:rsidR="00553A3A" w:rsidRPr="00E443AE">
              <w:rPr>
                <w:rFonts w:eastAsia="Times New Roman" w:cs="Calibri"/>
                <w:sz w:val="20"/>
                <w:szCs w:val="20"/>
                <w:lang w:val="en-US"/>
              </w:rPr>
              <w:t>0</w:t>
            </w:r>
          </w:p>
        </w:tc>
      </w:tr>
      <w:tr w:rsidR="00CB66FF" w:rsidRPr="00E443AE" w:rsidTr="00366BCF">
        <w:trPr>
          <w:trHeight w:val="229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Сарадња у поступку вршења самосталних и заједничких инспекцијских надзора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553A3A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10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0C2222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>Редовни инспекцијски надзор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12305B" w:rsidP="00A159D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120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0C2222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Поступање по представкама физичких и правних лица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12305B" w:rsidP="00896B87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sz w:val="20"/>
                <w:szCs w:val="20"/>
                <w:lang w:val="en-US"/>
              </w:rPr>
              <w:t>3</w:t>
            </w:r>
            <w:r w:rsidR="00896B87">
              <w:rPr>
                <w:rFonts w:eastAsia="Times New Roman" w:cs="Calibri"/>
                <w:sz w:val="20"/>
                <w:szCs w:val="20"/>
                <w:lang w:val="en-US"/>
              </w:rPr>
              <w:t>4</w:t>
            </w:r>
          </w:p>
        </w:tc>
      </w:tr>
      <w:tr w:rsidR="00CB66FF" w:rsidRPr="00E443AE" w:rsidTr="00366BCF">
        <w:trPr>
          <w:trHeight w:val="145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Ванредни инспекцијски надзор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85CF1" w:rsidP="000D5D29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74</w:t>
            </w:r>
          </w:p>
        </w:tc>
      </w:tr>
      <w:tr w:rsidR="00CB66FF" w:rsidRPr="00E443AE" w:rsidTr="00366BCF">
        <w:trPr>
          <w:trHeight w:val="103"/>
        </w:trPr>
        <w:tc>
          <w:tcPr>
            <w:tcW w:w="6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9421E7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Укупно II: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12305B" w:rsidP="00AE7F2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26</w:t>
            </w:r>
            <w:r w:rsidR="00AE7F2E">
              <w:rPr>
                <w:rFonts w:eastAsia="Times New Roman" w:cs="Calibri"/>
                <w:b/>
                <w:sz w:val="20"/>
                <w:szCs w:val="20"/>
              </w:rPr>
              <w:t>8</w:t>
            </w:r>
          </w:p>
        </w:tc>
      </w:tr>
      <w:tr w:rsidR="00CB66FF" w:rsidRPr="00E443AE" w:rsidTr="00E443AE">
        <w:trPr>
          <w:trHeight w:val="103"/>
        </w:trPr>
        <w:tc>
          <w:tcPr>
            <w:tcW w:w="9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>III. ОСТАЛИ ПОСЛОВИ И АКТИВНОСТИ</w:t>
            </w:r>
          </w:p>
        </w:tc>
      </w:tr>
      <w:tr w:rsidR="00CB66FF" w:rsidRPr="00E443AE" w:rsidTr="00366BCF">
        <w:trPr>
          <w:trHeight w:val="229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Извештавање о спроведеним инспекцијским надзорима - Припремање годишњих, кварталних и других извештаја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5640B7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38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Сарадња са др. секторима и одељењима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EE0031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12</w:t>
            </w:r>
          </w:p>
        </w:tc>
      </w:tr>
      <w:tr w:rsidR="00CB66FF" w:rsidRPr="00E443AE" w:rsidTr="00366BCF">
        <w:trPr>
          <w:trHeight w:val="229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Сарадња са другим министарствима, МУП-ом, јавним тужилаштвом, др. органима и институцијама, удружењима и стручним телима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205DC9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1</w:t>
            </w:r>
            <w:r w:rsidR="005640B7" w:rsidRPr="00E443AE">
              <w:rPr>
                <w:rFonts w:eastAsia="Times New Roman" w:cs="Calibri"/>
                <w:sz w:val="20"/>
                <w:szCs w:val="20"/>
              </w:rPr>
              <w:t>0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Израда мишљења на одлуке и друге опште акте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A3359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6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Казнени поступци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EE0031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12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Управни спорови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EE0031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6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Интерни састанци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12305B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10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Стручно усавршавање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EE0031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12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Рад у радним групама за израду прописа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A3359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10</w:t>
            </w:r>
          </w:p>
        </w:tc>
      </w:tr>
      <w:tr w:rsidR="00CB66FF" w:rsidRPr="00E443AE" w:rsidTr="00366BCF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66FF" w:rsidRPr="00E443AE" w:rsidRDefault="00CA5633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Рад у комисијама за </w:t>
            </w:r>
            <w:r w:rsidRPr="00E443AE">
              <w:rPr>
                <w:rFonts w:eastAsia="Times New Roman" w:cs="Calibri"/>
                <w:color w:val="000000"/>
                <w:sz w:val="20"/>
                <w:szCs w:val="20"/>
                <w:lang w:val="sr-Cyrl-CS"/>
              </w:rPr>
              <w:t>оверу резерви и ресурса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B66FF" w:rsidRPr="00E443AE" w:rsidRDefault="005640B7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sz w:val="20"/>
                <w:szCs w:val="20"/>
              </w:rPr>
              <w:t>8</w:t>
            </w:r>
          </w:p>
        </w:tc>
      </w:tr>
      <w:tr w:rsidR="00CB66FF" w:rsidRPr="00E443AE" w:rsidTr="00E443AE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 xml:space="preserve">Укупно III: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CB66FF" w:rsidRPr="0012305B" w:rsidRDefault="0012305B" w:rsidP="00CB66FF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12305B">
              <w:rPr>
                <w:rFonts w:eastAsia="Times New Roman" w:cs="Calibri"/>
                <w:b/>
                <w:sz w:val="20"/>
                <w:szCs w:val="20"/>
              </w:rPr>
              <w:t>124</w:t>
            </w:r>
          </w:p>
        </w:tc>
      </w:tr>
      <w:tr w:rsidR="00CB66FF" w:rsidRPr="00E443AE" w:rsidTr="00E443AE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 xml:space="preserve">Укупно (I + II + III)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CB66FF" w:rsidRPr="00E443AE" w:rsidRDefault="00553A3A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</w:rPr>
              <w:t>446</w:t>
            </w:r>
          </w:p>
        </w:tc>
      </w:tr>
      <w:tr w:rsidR="00CB66FF" w:rsidRPr="00E443AE" w:rsidTr="00E443AE">
        <w:trPr>
          <w:trHeight w:val="103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 xml:space="preserve">Укупно радних дана по инспектору </w:t>
            </w: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CB66FF" w:rsidRPr="00E443AE" w:rsidRDefault="00511671" w:rsidP="00CB66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color w:val="000000"/>
                <w:sz w:val="20"/>
                <w:szCs w:val="20"/>
                <w:lang w:val="en-US"/>
              </w:rPr>
              <w:t>223</w:t>
            </w:r>
          </w:p>
        </w:tc>
      </w:tr>
    </w:tbl>
    <w:p w:rsidR="00A3359F" w:rsidRDefault="00A3359F" w:rsidP="00CB66FF">
      <w:pPr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CC4AC7" w:rsidRDefault="00CC4AC7" w:rsidP="00CB66FF">
      <w:pPr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CC4AC7" w:rsidRDefault="00CC4AC7" w:rsidP="00CB66FF">
      <w:pPr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CB66FF" w:rsidRPr="00E443AE" w:rsidRDefault="00CB66FF" w:rsidP="00CB66FF">
      <w:pPr>
        <w:spacing w:after="0" w:line="276" w:lineRule="auto"/>
        <w:jc w:val="both"/>
        <w:rPr>
          <w:rFonts w:eastAsia="Times New Roman" w:cs="Calibri"/>
          <w:i/>
          <w:lang w:val="en-US"/>
        </w:rPr>
      </w:pPr>
      <w:r w:rsidRPr="00E443AE">
        <w:rPr>
          <w:rFonts w:eastAsia="Times New Roman" w:cs="Calibri"/>
          <w:i/>
          <w:lang w:val="en-US"/>
        </w:rPr>
        <w:t>Дељење укупног времена потребног за редовни инспекцијски надзор с расположивим временом инспектора</w:t>
      </w:r>
    </w:p>
    <w:p w:rsidR="00CC4AC7" w:rsidRPr="00E443AE" w:rsidRDefault="00CC4AC7" w:rsidP="00CB66FF">
      <w:pPr>
        <w:spacing w:after="0" w:line="276" w:lineRule="auto"/>
        <w:jc w:val="both"/>
        <w:rPr>
          <w:rFonts w:eastAsia="Times New Roman" w:cs="Calibri"/>
          <w:lang w:val="en-US"/>
        </w:rPr>
      </w:pPr>
    </w:p>
    <w:tbl>
      <w:tblPr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9"/>
        <w:gridCol w:w="1542"/>
        <w:gridCol w:w="880"/>
        <w:gridCol w:w="1081"/>
        <w:gridCol w:w="896"/>
        <w:gridCol w:w="1241"/>
        <w:gridCol w:w="1047"/>
      </w:tblGrid>
      <w:tr w:rsidR="00CB66FF" w:rsidRPr="00E443AE" w:rsidTr="00E443AE">
        <w:trPr>
          <w:jc w:val="center"/>
        </w:trPr>
        <w:tc>
          <w:tcPr>
            <w:tcW w:w="2889" w:type="dxa"/>
            <w:shd w:val="clear" w:color="auto" w:fill="E2EFD9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>Степен ризика</w:t>
            </w:r>
          </w:p>
        </w:tc>
        <w:tc>
          <w:tcPr>
            <w:tcW w:w="1542" w:type="dxa"/>
            <w:shd w:val="clear" w:color="auto" w:fill="E2EFD9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>Критичан</w:t>
            </w:r>
          </w:p>
        </w:tc>
        <w:tc>
          <w:tcPr>
            <w:tcW w:w="880" w:type="dxa"/>
            <w:shd w:val="clear" w:color="auto" w:fill="E2EFD9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>Висок</w:t>
            </w:r>
          </w:p>
        </w:tc>
        <w:tc>
          <w:tcPr>
            <w:tcW w:w="1081" w:type="dxa"/>
            <w:shd w:val="clear" w:color="auto" w:fill="E2EFD9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>Средњи</w:t>
            </w:r>
          </w:p>
        </w:tc>
        <w:tc>
          <w:tcPr>
            <w:tcW w:w="896" w:type="dxa"/>
            <w:shd w:val="clear" w:color="auto" w:fill="E2EFD9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>Низак</w:t>
            </w:r>
          </w:p>
        </w:tc>
        <w:tc>
          <w:tcPr>
            <w:tcW w:w="1241" w:type="dxa"/>
            <w:shd w:val="clear" w:color="auto" w:fill="E2EFD9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 xml:space="preserve">Незнатан </w:t>
            </w:r>
          </w:p>
        </w:tc>
        <w:tc>
          <w:tcPr>
            <w:tcW w:w="1047" w:type="dxa"/>
            <w:shd w:val="clear" w:color="auto" w:fill="E2EFD9"/>
          </w:tcPr>
          <w:p w:rsidR="00CB66FF" w:rsidRPr="00E443AE" w:rsidRDefault="00CB66FF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>Укупно</w:t>
            </w:r>
          </w:p>
        </w:tc>
      </w:tr>
      <w:tr w:rsidR="006F6460" w:rsidRPr="00E443AE" w:rsidTr="00B45B45">
        <w:trPr>
          <w:jc w:val="center"/>
        </w:trPr>
        <w:tc>
          <w:tcPr>
            <w:tcW w:w="2889" w:type="dxa"/>
          </w:tcPr>
          <w:p w:rsidR="006F6460" w:rsidRPr="00E443AE" w:rsidRDefault="006F6460" w:rsidP="006F646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Број надзираних објеката (А)</w:t>
            </w:r>
          </w:p>
        </w:tc>
        <w:tc>
          <w:tcPr>
            <w:tcW w:w="1542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/</w:t>
            </w:r>
          </w:p>
        </w:tc>
        <w:tc>
          <w:tcPr>
            <w:tcW w:w="880" w:type="dxa"/>
          </w:tcPr>
          <w:p w:rsidR="006F6460" w:rsidRPr="00E443AE" w:rsidRDefault="00B62A3F" w:rsidP="00B62A3F">
            <w:pPr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/</w:t>
            </w:r>
          </w:p>
        </w:tc>
        <w:tc>
          <w:tcPr>
            <w:tcW w:w="1081" w:type="dxa"/>
          </w:tcPr>
          <w:p w:rsidR="006F6460" w:rsidRPr="00E443AE" w:rsidRDefault="00D72F3D" w:rsidP="006F6460">
            <w:pPr>
              <w:jc w:val="center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28</w:t>
            </w:r>
          </w:p>
        </w:tc>
        <w:tc>
          <w:tcPr>
            <w:tcW w:w="896" w:type="dxa"/>
          </w:tcPr>
          <w:p w:rsidR="006F6460" w:rsidRPr="00E443AE" w:rsidRDefault="00D72F3D" w:rsidP="006F6460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156</w:t>
            </w:r>
          </w:p>
        </w:tc>
        <w:tc>
          <w:tcPr>
            <w:tcW w:w="1241" w:type="dxa"/>
          </w:tcPr>
          <w:p w:rsidR="006F6460" w:rsidRPr="00E443AE" w:rsidRDefault="00E37CD6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/</w:t>
            </w:r>
          </w:p>
        </w:tc>
        <w:tc>
          <w:tcPr>
            <w:tcW w:w="1047" w:type="dxa"/>
          </w:tcPr>
          <w:p w:rsidR="006F6460" w:rsidRPr="00E443AE" w:rsidRDefault="00D72F3D" w:rsidP="00BC1AD0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184</w:t>
            </w:r>
          </w:p>
        </w:tc>
      </w:tr>
      <w:tr w:rsidR="006F6460" w:rsidRPr="00E443AE" w:rsidTr="00B45B45">
        <w:trPr>
          <w:jc w:val="center"/>
        </w:trPr>
        <w:tc>
          <w:tcPr>
            <w:tcW w:w="2889" w:type="dxa"/>
          </w:tcPr>
          <w:p w:rsidR="006F6460" w:rsidRPr="00E443AE" w:rsidRDefault="006F6460" w:rsidP="006F646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Предвиђена учесталост инспекцијског надзора (B)</w:t>
            </w:r>
          </w:p>
        </w:tc>
        <w:tc>
          <w:tcPr>
            <w:tcW w:w="1542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880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081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896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0,5</w:t>
            </w:r>
          </w:p>
        </w:tc>
        <w:tc>
          <w:tcPr>
            <w:tcW w:w="1241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0,3333</w:t>
            </w:r>
          </w:p>
        </w:tc>
        <w:tc>
          <w:tcPr>
            <w:tcW w:w="1047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F6460" w:rsidRPr="00E443AE" w:rsidTr="00B45B45">
        <w:trPr>
          <w:jc w:val="center"/>
        </w:trPr>
        <w:tc>
          <w:tcPr>
            <w:tcW w:w="2889" w:type="dxa"/>
          </w:tcPr>
          <w:p w:rsidR="006F6460" w:rsidRPr="00E443AE" w:rsidRDefault="006F6460" w:rsidP="006F646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Број инспекција на годишњем нивоу C=AxB</w:t>
            </w:r>
          </w:p>
        </w:tc>
        <w:tc>
          <w:tcPr>
            <w:tcW w:w="1542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/</w:t>
            </w:r>
          </w:p>
        </w:tc>
        <w:tc>
          <w:tcPr>
            <w:tcW w:w="880" w:type="dxa"/>
          </w:tcPr>
          <w:p w:rsidR="006F6460" w:rsidRPr="00E443AE" w:rsidRDefault="00B62A3F" w:rsidP="00B62A3F">
            <w:pPr>
              <w:jc w:val="center"/>
              <w:rPr>
                <w:rFonts w:cs="Calibri"/>
                <w:sz w:val="20"/>
                <w:szCs w:val="20"/>
                <w:lang w:val="en-US"/>
              </w:rPr>
            </w:pPr>
            <w:r w:rsidRPr="00E443AE">
              <w:rPr>
                <w:rFonts w:cs="Calibri"/>
                <w:sz w:val="20"/>
                <w:szCs w:val="20"/>
                <w:lang w:val="en-US"/>
              </w:rPr>
              <w:t>/</w:t>
            </w:r>
          </w:p>
        </w:tc>
        <w:tc>
          <w:tcPr>
            <w:tcW w:w="1081" w:type="dxa"/>
          </w:tcPr>
          <w:p w:rsidR="006F6460" w:rsidRPr="00E443AE" w:rsidRDefault="00D72F3D" w:rsidP="006F6460">
            <w:pPr>
              <w:jc w:val="center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28</w:t>
            </w:r>
          </w:p>
        </w:tc>
        <w:tc>
          <w:tcPr>
            <w:tcW w:w="896" w:type="dxa"/>
          </w:tcPr>
          <w:p w:rsidR="006F6460" w:rsidRPr="00E443AE" w:rsidRDefault="00D72F3D" w:rsidP="00A159D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78</w:t>
            </w:r>
          </w:p>
        </w:tc>
        <w:tc>
          <w:tcPr>
            <w:tcW w:w="1241" w:type="dxa"/>
          </w:tcPr>
          <w:p w:rsidR="006F6460" w:rsidRPr="00E443AE" w:rsidRDefault="00E37CD6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/</w:t>
            </w:r>
          </w:p>
        </w:tc>
        <w:tc>
          <w:tcPr>
            <w:tcW w:w="1047" w:type="dxa"/>
          </w:tcPr>
          <w:p w:rsidR="006F6460" w:rsidRPr="00E443AE" w:rsidRDefault="00D72F3D" w:rsidP="006F6460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106</w:t>
            </w:r>
          </w:p>
        </w:tc>
      </w:tr>
      <w:tr w:rsidR="006F6460" w:rsidRPr="00E443AE" w:rsidTr="00B45B45">
        <w:trPr>
          <w:jc w:val="center"/>
        </w:trPr>
        <w:tc>
          <w:tcPr>
            <w:tcW w:w="2889" w:type="dxa"/>
          </w:tcPr>
          <w:p w:rsidR="006F6460" w:rsidRPr="00E443AE" w:rsidRDefault="006F6460" w:rsidP="006F646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Трајање инспекцијског надзора у данима (D) укључујући планирање, припрему, путовање, узорковање и извештавање.</w:t>
            </w:r>
          </w:p>
        </w:tc>
        <w:tc>
          <w:tcPr>
            <w:tcW w:w="1542" w:type="dxa"/>
          </w:tcPr>
          <w:p w:rsidR="006F6460" w:rsidRPr="00E443AE" w:rsidRDefault="00A159D3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880" w:type="dxa"/>
          </w:tcPr>
          <w:p w:rsidR="006F6460" w:rsidRPr="00E443AE" w:rsidRDefault="00A159D3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 xml:space="preserve"> 2,5</w:t>
            </w:r>
          </w:p>
        </w:tc>
        <w:tc>
          <w:tcPr>
            <w:tcW w:w="1081" w:type="dxa"/>
          </w:tcPr>
          <w:p w:rsidR="006F6460" w:rsidRPr="00E443AE" w:rsidRDefault="00A159D3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1,5</w:t>
            </w:r>
          </w:p>
        </w:tc>
        <w:tc>
          <w:tcPr>
            <w:tcW w:w="896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41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047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F6460" w:rsidRPr="00E443AE" w:rsidTr="00B45B45">
        <w:trPr>
          <w:jc w:val="center"/>
        </w:trPr>
        <w:tc>
          <w:tcPr>
            <w:tcW w:w="2889" w:type="dxa"/>
          </w:tcPr>
          <w:p w:rsidR="006F6460" w:rsidRPr="00E443AE" w:rsidRDefault="006F6460" w:rsidP="006F646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lastRenderedPageBreak/>
              <w:t>Број инспектора у инспекцијском надзору (I)</w:t>
            </w:r>
          </w:p>
        </w:tc>
        <w:tc>
          <w:tcPr>
            <w:tcW w:w="1542" w:type="dxa"/>
          </w:tcPr>
          <w:p w:rsidR="006F6460" w:rsidRPr="00E443AE" w:rsidRDefault="00A159D3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 xml:space="preserve"> 2</w:t>
            </w:r>
          </w:p>
        </w:tc>
        <w:tc>
          <w:tcPr>
            <w:tcW w:w="880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081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896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41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047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F6460" w:rsidRPr="00E443AE" w:rsidTr="00B45B45">
        <w:trPr>
          <w:jc w:val="center"/>
        </w:trPr>
        <w:tc>
          <w:tcPr>
            <w:tcW w:w="2889" w:type="dxa"/>
          </w:tcPr>
          <w:p w:rsidR="006F6460" w:rsidRPr="00E443AE" w:rsidRDefault="006F6460" w:rsidP="006F646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sz w:val="20"/>
                <w:szCs w:val="20"/>
                <w:lang w:val="en-US"/>
              </w:rPr>
              <w:t>Укупан број инспектор - дана (E=CxDxI)</w:t>
            </w:r>
          </w:p>
        </w:tc>
        <w:tc>
          <w:tcPr>
            <w:tcW w:w="1542" w:type="dxa"/>
          </w:tcPr>
          <w:p w:rsidR="006F6460" w:rsidRPr="00E443AE" w:rsidRDefault="006F6460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/</w:t>
            </w:r>
          </w:p>
        </w:tc>
        <w:tc>
          <w:tcPr>
            <w:tcW w:w="880" w:type="dxa"/>
          </w:tcPr>
          <w:p w:rsidR="006F6460" w:rsidRPr="00E443AE" w:rsidRDefault="00B62A3F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/</w:t>
            </w:r>
          </w:p>
        </w:tc>
        <w:tc>
          <w:tcPr>
            <w:tcW w:w="1081" w:type="dxa"/>
          </w:tcPr>
          <w:p w:rsidR="006F6460" w:rsidRPr="00E443AE" w:rsidRDefault="00D72F3D" w:rsidP="00B62A3F">
            <w:pPr>
              <w:jc w:val="center"/>
              <w:rPr>
                <w:rFonts w:cs="Calibri"/>
                <w:sz w:val="20"/>
                <w:szCs w:val="20"/>
                <w:lang w:val="en-US"/>
              </w:rPr>
            </w:pPr>
            <w:r>
              <w:rPr>
                <w:rFonts w:cs="Calibri"/>
                <w:sz w:val="20"/>
                <w:szCs w:val="20"/>
                <w:lang w:val="en-US"/>
              </w:rPr>
              <w:t>42</w:t>
            </w:r>
          </w:p>
        </w:tc>
        <w:tc>
          <w:tcPr>
            <w:tcW w:w="896" w:type="dxa"/>
          </w:tcPr>
          <w:p w:rsidR="006F6460" w:rsidRPr="00E443AE" w:rsidRDefault="00D72F3D" w:rsidP="00B62A3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78</w:t>
            </w:r>
          </w:p>
        </w:tc>
        <w:tc>
          <w:tcPr>
            <w:tcW w:w="1241" w:type="dxa"/>
          </w:tcPr>
          <w:p w:rsidR="006F6460" w:rsidRPr="00E443AE" w:rsidRDefault="00E37CD6" w:rsidP="006F6460">
            <w:pPr>
              <w:jc w:val="center"/>
              <w:rPr>
                <w:rFonts w:cs="Calibri"/>
                <w:sz w:val="20"/>
                <w:szCs w:val="20"/>
              </w:rPr>
            </w:pPr>
            <w:r w:rsidRPr="00E443AE">
              <w:rPr>
                <w:rFonts w:cs="Calibri"/>
                <w:sz w:val="20"/>
                <w:szCs w:val="20"/>
              </w:rPr>
              <w:t>/</w:t>
            </w:r>
          </w:p>
        </w:tc>
        <w:tc>
          <w:tcPr>
            <w:tcW w:w="1047" w:type="dxa"/>
          </w:tcPr>
          <w:p w:rsidR="006F6460" w:rsidRPr="00E443AE" w:rsidRDefault="00C85CF1" w:rsidP="00E37CD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</w:tr>
      <w:tr w:rsidR="00CB66FF" w:rsidRPr="00E443AE" w:rsidTr="00E443AE">
        <w:trPr>
          <w:jc w:val="center"/>
        </w:trPr>
        <w:tc>
          <w:tcPr>
            <w:tcW w:w="8529" w:type="dxa"/>
            <w:gridSpan w:val="6"/>
            <w:shd w:val="clear" w:color="auto" w:fill="FBE4D5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>Број радних дана за редовни надзор по инспектору (F)</w:t>
            </w:r>
          </w:p>
        </w:tc>
        <w:tc>
          <w:tcPr>
            <w:tcW w:w="1047" w:type="dxa"/>
            <w:shd w:val="clear" w:color="auto" w:fill="FBE4D5"/>
          </w:tcPr>
          <w:p w:rsidR="00CB66FF" w:rsidRPr="00E443AE" w:rsidRDefault="00C85CF1" w:rsidP="00823C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</w:rPr>
              <w:t>60</w:t>
            </w:r>
          </w:p>
        </w:tc>
      </w:tr>
      <w:tr w:rsidR="00CB66FF" w:rsidRPr="00E443AE" w:rsidTr="00E443AE">
        <w:trPr>
          <w:jc w:val="center"/>
        </w:trPr>
        <w:tc>
          <w:tcPr>
            <w:tcW w:w="8529" w:type="dxa"/>
            <w:gridSpan w:val="6"/>
            <w:shd w:val="clear" w:color="auto" w:fill="FBE4D5"/>
          </w:tcPr>
          <w:p w:rsidR="00CB66FF" w:rsidRPr="00E443AE" w:rsidRDefault="00CB66FF" w:rsidP="00CB66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en-US"/>
              </w:rPr>
              <w:t>Број потребних инспектора E/F</w:t>
            </w:r>
          </w:p>
        </w:tc>
        <w:tc>
          <w:tcPr>
            <w:tcW w:w="1047" w:type="dxa"/>
            <w:shd w:val="clear" w:color="auto" w:fill="FBE4D5"/>
          </w:tcPr>
          <w:p w:rsidR="00CB66FF" w:rsidRPr="00E443AE" w:rsidRDefault="00823CCC" w:rsidP="00CB66F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E443AE">
              <w:rPr>
                <w:rFonts w:eastAsia="Times New Roman" w:cs="Calibri"/>
                <w:b/>
                <w:sz w:val="20"/>
                <w:szCs w:val="20"/>
                <w:lang w:val="sr-Cyrl-CS"/>
              </w:rPr>
              <w:t>2</w:t>
            </w:r>
          </w:p>
        </w:tc>
      </w:tr>
    </w:tbl>
    <w:p w:rsidR="00B62A3F" w:rsidRDefault="00B62A3F" w:rsidP="00B62A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Calibri"/>
          <w:color w:val="000000"/>
          <w:lang w:val="sr-Cyrl-CS"/>
        </w:rPr>
      </w:pPr>
    </w:p>
    <w:p w:rsidR="004744D0" w:rsidRDefault="004744D0" w:rsidP="00B62A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Calibri"/>
          <w:color w:val="000000"/>
          <w:lang w:val="sr-Cyrl-CS"/>
        </w:rPr>
      </w:pPr>
    </w:p>
    <w:p w:rsidR="004744D0" w:rsidRDefault="004744D0" w:rsidP="00B62A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Calibri"/>
          <w:color w:val="000000"/>
          <w:lang w:val="sr-Cyrl-CS"/>
        </w:rPr>
      </w:pPr>
    </w:p>
    <w:p w:rsidR="004744D0" w:rsidRDefault="004744D0" w:rsidP="00B62A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Calibri"/>
          <w:color w:val="000000"/>
          <w:lang w:val="sr-Cyrl-CS"/>
        </w:rPr>
      </w:pPr>
    </w:p>
    <w:p w:rsidR="004744D0" w:rsidRPr="00E443AE" w:rsidRDefault="004744D0" w:rsidP="00B62A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Calibri"/>
          <w:color w:val="000000"/>
          <w:lang w:val="sr-Cyrl-CS"/>
        </w:rPr>
      </w:pPr>
    </w:p>
    <w:p w:rsidR="00A67083" w:rsidRPr="00E443AE" w:rsidRDefault="00CC4AC7" w:rsidP="00CC4AC7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Times New Roman" w:cs="Calibri"/>
          <w:color w:val="000000"/>
          <w:lang w:val="sr-Cyrl-CS"/>
        </w:rPr>
      </w:pPr>
      <w:r w:rsidRPr="00E443AE">
        <w:rPr>
          <w:rFonts w:eastAsia="Times New Roman" w:cs="Calibri"/>
          <w:b/>
          <w:color w:val="000000"/>
          <w:lang w:val="sr-Cyrl-CS"/>
        </w:rPr>
        <w:t>ПЛАНИРАНЕ МЕРЕ И АКТИВНОСТИ ПРЕВЕНТИВНОГ ДЕЛОВАЊА ИНСПЕКЦИЈЕ</w:t>
      </w:r>
    </w:p>
    <w:p w:rsidR="00CC4AC7" w:rsidRPr="00E443AE" w:rsidRDefault="00CC4AC7" w:rsidP="00CC4AC7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Calibri"/>
          <w:color w:val="000000"/>
          <w:lang w:val="sr-Cyrl-CS"/>
        </w:rPr>
      </w:pPr>
    </w:p>
    <w:p w:rsidR="00205DC9" w:rsidRPr="00E443AE" w:rsidRDefault="00205DC9" w:rsidP="00205D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eastAsia="Times New Roman" w:cs="Calibri"/>
          <w:color w:val="000000"/>
          <w:lang w:val="sr-Cyrl-CS"/>
        </w:rPr>
      </w:pPr>
    </w:p>
    <w:p w:rsidR="00A67083" w:rsidRPr="00E443AE" w:rsidRDefault="00A67083" w:rsidP="00A67083">
      <w:pPr>
        <w:spacing w:after="0" w:line="240" w:lineRule="auto"/>
        <w:ind w:firstLine="360"/>
        <w:jc w:val="both"/>
        <w:rPr>
          <w:rFonts w:eastAsia="Times New Roman" w:cs="Calibri"/>
          <w:lang w:val="sr-Cyrl-CS"/>
        </w:rPr>
      </w:pPr>
      <w:r w:rsidRPr="00E443AE">
        <w:rPr>
          <w:rFonts w:eastAsia="Times New Roman" w:cs="Calibri"/>
          <w:lang w:val="sr-Cyrl-CS"/>
        </w:rPr>
        <w:t xml:space="preserve">У циљу превентивног деловања инспекције пружањем стручне и саветодавне подршке надзираним субјектима планирано је да сви инспектори у току године врше саветодавне посете код надзираних субјеката. </w:t>
      </w:r>
    </w:p>
    <w:p w:rsidR="00A67083" w:rsidRPr="00E443AE" w:rsidRDefault="00A67083" w:rsidP="00A67083">
      <w:pPr>
        <w:spacing w:after="0" w:line="240" w:lineRule="auto"/>
        <w:ind w:firstLine="360"/>
        <w:jc w:val="both"/>
        <w:rPr>
          <w:rFonts w:eastAsia="Times New Roman" w:cs="Calibri"/>
          <w:lang w:val="sr-Cyrl-CS"/>
        </w:rPr>
      </w:pPr>
      <w:r w:rsidRPr="00E443AE">
        <w:rPr>
          <w:rFonts w:eastAsia="Times New Roman" w:cs="Calibri"/>
          <w:lang w:val="sr-Cyrl-CS"/>
        </w:rPr>
        <w:t xml:space="preserve">Превентивно деловањем се подстиче исправност, уредност и редовност у испуњавању обавеза како би се спречио настанак незаконитости и штетних последица и тако квалитетно допринело бољем стању законитости и безбедности.  </w:t>
      </w:r>
    </w:p>
    <w:p w:rsidR="009E6BFA" w:rsidRPr="00E443AE" w:rsidRDefault="00A67083" w:rsidP="00A67083">
      <w:pPr>
        <w:spacing w:after="0" w:line="240" w:lineRule="auto"/>
        <w:ind w:firstLine="360"/>
        <w:jc w:val="both"/>
        <w:rPr>
          <w:rFonts w:eastAsia="Times New Roman" w:cs="Calibri"/>
          <w:lang w:val="sr-Cyrl-CS"/>
        </w:rPr>
      </w:pPr>
      <w:r w:rsidRPr="00E443AE">
        <w:rPr>
          <w:rFonts w:eastAsia="Times New Roman" w:cs="Calibri"/>
          <w:lang w:val="sr-Cyrl-CS"/>
        </w:rPr>
        <w:t>Посебна пажња током инспекцијског рада биће усмерена на саветодавне посете које би обухватиле пружање стручне и саветодавне подршке привредним субјектима која су добила одобрење за примењена геолошка истраживања или одобрење за експлоатацију минералних сировина</w:t>
      </w:r>
      <w:r w:rsidR="009E6BFA" w:rsidRPr="00E443AE">
        <w:rPr>
          <w:rFonts w:eastAsia="Times New Roman" w:cs="Calibri"/>
          <w:lang w:val="sr-Cyrl-CS"/>
        </w:rPr>
        <w:t xml:space="preserve"> у текућој години</w:t>
      </w:r>
      <w:r w:rsidRPr="00E443AE">
        <w:rPr>
          <w:rFonts w:eastAsia="Times New Roman" w:cs="Calibri"/>
          <w:lang w:val="sr-Cyrl-CS"/>
        </w:rPr>
        <w:t xml:space="preserve">. </w:t>
      </w:r>
      <w:r w:rsidR="009E6BFA" w:rsidRPr="00E443AE">
        <w:rPr>
          <w:rFonts w:eastAsia="Times New Roman" w:cs="Calibri"/>
          <w:lang w:val="sr-Cyrl-CS"/>
        </w:rPr>
        <w:t xml:space="preserve">Поред наведених субјеката пажња превентивног деловања биће усмерена према субјектима који имају обавезу да у законском року након протека од пет година иновирају елаборат о ресурсима и резервама. </w:t>
      </w:r>
    </w:p>
    <w:p w:rsidR="00A67083" w:rsidRPr="00E443AE" w:rsidRDefault="00A67083" w:rsidP="00A67083">
      <w:pPr>
        <w:spacing w:after="0" w:line="240" w:lineRule="auto"/>
        <w:ind w:firstLine="360"/>
        <w:jc w:val="both"/>
        <w:rPr>
          <w:rFonts w:eastAsia="Times New Roman" w:cs="Calibri"/>
        </w:rPr>
      </w:pPr>
      <w:r w:rsidRPr="00E443AE">
        <w:rPr>
          <w:rFonts w:eastAsia="Times New Roman" w:cs="Calibri"/>
          <w:lang w:val="sr-Cyrl-CS"/>
        </w:rPr>
        <w:t>Превентивно деловања инспекције остварује се пружањем стручне и саветодавне подршке надз</w:t>
      </w:r>
      <w:r w:rsidR="009E6BFA" w:rsidRPr="00E443AE">
        <w:rPr>
          <w:rFonts w:eastAsia="Times New Roman" w:cs="Calibri"/>
          <w:lang w:val="sr-Cyrl-CS"/>
        </w:rPr>
        <w:t>ираним субјектима на лицу места</w:t>
      </w:r>
      <w:r w:rsidRPr="00E443AE">
        <w:rPr>
          <w:rFonts w:eastAsia="Times New Roman" w:cs="Calibri"/>
          <w:lang w:val="sr-Cyrl-CS"/>
        </w:rPr>
        <w:t>.</w:t>
      </w:r>
      <w:r w:rsidR="0053616F" w:rsidRPr="00E443AE">
        <w:rPr>
          <w:rFonts w:eastAsia="Times New Roman" w:cs="Calibri"/>
        </w:rPr>
        <w:t xml:space="preserve">Тежиште преветивног деловања ће бити реализовано кроз службене саветодавне посете за које је у 2021 години планирано </w:t>
      </w:r>
      <w:r w:rsidR="004744D0">
        <w:rPr>
          <w:rFonts w:eastAsia="Times New Roman" w:cs="Calibri"/>
        </w:rPr>
        <w:t>3</w:t>
      </w:r>
      <w:r w:rsidR="00CC4AC7" w:rsidRPr="00E443AE">
        <w:rPr>
          <w:rFonts w:eastAsia="Times New Roman" w:cs="Calibri"/>
        </w:rPr>
        <w:t>0</w:t>
      </w:r>
      <w:r w:rsidR="0053616F" w:rsidRPr="00E443AE">
        <w:rPr>
          <w:rFonts w:eastAsia="Times New Roman" w:cs="Calibri"/>
        </w:rPr>
        <w:t xml:space="preserve"> инспектор дана.</w:t>
      </w:r>
    </w:p>
    <w:p w:rsidR="00CC4AC7" w:rsidRPr="00E443AE" w:rsidRDefault="00CC4AC7" w:rsidP="000221B4">
      <w:pPr>
        <w:spacing w:after="0" w:line="240" w:lineRule="auto"/>
        <w:jc w:val="both"/>
        <w:rPr>
          <w:rFonts w:eastAsia="Times New Roman" w:cs="Calibri"/>
        </w:rPr>
      </w:pPr>
    </w:p>
    <w:p w:rsidR="00A67083" w:rsidRDefault="00A67083" w:rsidP="00A67083">
      <w:pPr>
        <w:spacing w:after="0" w:line="240" w:lineRule="auto"/>
        <w:jc w:val="both"/>
        <w:rPr>
          <w:rFonts w:eastAsia="Times New Roman" w:cs="Calibri"/>
          <w:lang w:val="sr-Cyrl-CS"/>
        </w:rPr>
      </w:pPr>
    </w:p>
    <w:p w:rsidR="004744D0" w:rsidRPr="00E443AE" w:rsidRDefault="004744D0" w:rsidP="00A67083">
      <w:pPr>
        <w:spacing w:after="0" w:line="240" w:lineRule="auto"/>
        <w:jc w:val="both"/>
        <w:rPr>
          <w:rFonts w:eastAsia="Times New Roman" w:cs="Calibri"/>
          <w:lang w:val="sr-Cyrl-CS"/>
        </w:rPr>
      </w:pPr>
    </w:p>
    <w:p w:rsidR="00087A7F" w:rsidRPr="00E443AE" w:rsidRDefault="00CC4AC7" w:rsidP="00CC4AC7">
      <w:pPr>
        <w:pStyle w:val="ListParagraph"/>
        <w:numPr>
          <w:ilvl w:val="0"/>
          <w:numId w:val="12"/>
        </w:numPr>
        <w:spacing w:after="0" w:line="240" w:lineRule="auto"/>
        <w:jc w:val="center"/>
        <w:rPr>
          <w:rFonts w:eastAsia="Times New Roman" w:cs="Calibri"/>
          <w:lang w:val="sr-Cyrl-CS"/>
        </w:rPr>
      </w:pPr>
      <w:r w:rsidRPr="00E443AE">
        <w:rPr>
          <w:rFonts w:eastAsia="Times New Roman" w:cs="Calibri"/>
          <w:b/>
          <w:lang w:val="sr-Cyrl-CS"/>
        </w:rPr>
        <w:t>ПЛАНИРАНЕ МЕРЕ И АКТИВНОСТИ ЗА СПРЕЧАВАЊЕ ОБАВЉАЊА ДЕЛАТНОСТИ И ВРШЕЊА АКТИВНОСТИ НЕРЕГИСТРОВАНИХ СУБЈЕКАТА</w:t>
      </w:r>
    </w:p>
    <w:p w:rsidR="007E128E" w:rsidRPr="00E443AE" w:rsidRDefault="007E128E" w:rsidP="007E128E">
      <w:pPr>
        <w:pStyle w:val="ListParagraph"/>
        <w:spacing w:after="0" w:line="240" w:lineRule="auto"/>
        <w:jc w:val="both"/>
        <w:rPr>
          <w:rFonts w:eastAsia="Times New Roman" w:cs="Calibri"/>
          <w:lang w:val="sr-Cyrl-CS"/>
        </w:rPr>
      </w:pPr>
    </w:p>
    <w:p w:rsidR="00205DC9" w:rsidRPr="00E443AE" w:rsidRDefault="00205DC9" w:rsidP="007E128E">
      <w:pPr>
        <w:pStyle w:val="ListParagraph"/>
        <w:spacing w:after="0" w:line="240" w:lineRule="auto"/>
        <w:jc w:val="both"/>
        <w:rPr>
          <w:rFonts w:eastAsia="Times New Roman" w:cs="Calibri"/>
          <w:lang w:val="sr-Cyrl-CS"/>
        </w:rPr>
      </w:pPr>
    </w:p>
    <w:p w:rsidR="00087A7F" w:rsidRPr="00E443AE" w:rsidRDefault="00087A7F" w:rsidP="00A67807">
      <w:pPr>
        <w:spacing w:after="120"/>
        <w:ind w:firstLine="708"/>
        <w:jc w:val="both"/>
        <w:rPr>
          <w:rFonts w:cs="Calibri"/>
          <w:lang w:eastAsia="hr-HR"/>
        </w:rPr>
      </w:pPr>
      <w:r w:rsidRPr="00E443AE">
        <w:rPr>
          <w:rFonts w:cs="Calibri"/>
          <w:lang w:val="sr-Cyrl-CS" w:eastAsia="hr-HR"/>
        </w:rPr>
        <w:t>И</w:t>
      </w:r>
      <w:r w:rsidRPr="00E443AE">
        <w:rPr>
          <w:rFonts w:cs="Calibri"/>
          <w:lang w:val="sr-Latn-CS" w:eastAsia="hr-HR"/>
        </w:rPr>
        <w:t>нспекцијски надзор</w:t>
      </w:r>
      <w:r w:rsidRPr="00E443AE">
        <w:rPr>
          <w:rFonts w:cs="Calibri"/>
          <w:lang w:val="sr-Cyrl-CS" w:eastAsia="hr-HR"/>
        </w:rPr>
        <w:t xml:space="preserve"> над </w:t>
      </w:r>
      <w:r w:rsidRPr="00E443AE">
        <w:rPr>
          <w:rFonts w:cs="Calibri"/>
          <w:lang w:val="sr-Latn-CS" w:eastAsia="hr-HR"/>
        </w:rPr>
        <w:t>нерегистрованим субјект</w:t>
      </w:r>
      <w:r w:rsidRPr="00E443AE">
        <w:rPr>
          <w:rFonts w:cs="Calibri"/>
          <w:lang w:val="sr-Cyrl-CS" w:eastAsia="hr-HR"/>
        </w:rPr>
        <w:t xml:space="preserve">има, геолошка инспекција </w:t>
      </w:r>
      <w:r w:rsidRPr="00E443AE">
        <w:rPr>
          <w:rFonts w:cs="Calibri"/>
          <w:lang w:val="sr-Latn-CS" w:eastAsia="hr-HR"/>
        </w:rPr>
        <w:t xml:space="preserve">врши према </w:t>
      </w:r>
      <w:r w:rsidRPr="00E443AE">
        <w:rPr>
          <w:rFonts w:cs="Calibri"/>
          <w:lang w:eastAsia="hr-HR"/>
        </w:rPr>
        <w:t>добијеним представкама и на основу координације са другим инспекцијама</w:t>
      </w:r>
      <w:r w:rsidR="0053616F" w:rsidRPr="00E443AE">
        <w:rPr>
          <w:rFonts w:cs="Calibri"/>
          <w:lang w:eastAsia="hr-HR"/>
        </w:rPr>
        <w:t xml:space="preserve">, као и кроз превентивно деловање вршењем надзора, на основу процене ризика, на локацијама које могу бити </w:t>
      </w:r>
      <w:r w:rsidR="006B67FB" w:rsidRPr="00E443AE">
        <w:rPr>
          <w:rFonts w:cs="Calibri"/>
          <w:lang w:eastAsia="hr-HR"/>
        </w:rPr>
        <w:t>предмет вршења активности и обављања делатности нерегистрованих субјеката</w:t>
      </w:r>
      <w:r w:rsidR="0053616F" w:rsidRPr="00E443AE">
        <w:rPr>
          <w:rFonts w:cs="Calibri"/>
          <w:lang w:eastAsia="hr-HR"/>
        </w:rPr>
        <w:t xml:space="preserve">. </w:t>
      </w:r>
      <w:r w:rsidR="00943BED" w:rsidRPr="00E443AE">
        <w:rPr>
          <w:rFonts w:cs="Calibri"/>
          <w:lang w:eastAsia="hr-HR"/>
        </w:rPr>
        <w:t>Планирано је да се у 2021. години повећа број инспекцијских надзора нерегистрованих субјеката – субјеката који врше експлоатацију без одобрења  за 10% у односу на 2020. годину. Ако код надзираног субјекта открије незаконитост која је кажњива према закону или другом пропису, инспектор ће без изузетка надл</w:t>
      </w:r>
      <w:r w:rsidR="0090544A" w:rsidRPr="00E443AE">
        <w:rPr>
          <w:rFonts w:cs="Calibri"/>
          <w:lang w:eastAsia="hr-HR"/>
        </w:rPr>
        <w:t>ежном правосудном органу подноети</w:t>
      </w:r>
      <w:r w:rsidR="00943BED" w:rsidRPr="00E443AE">
        <w:rPr>
          <w:rFonts w:cs="Calibri"/>
          <w:lang w:eastAsia="hr-HR"/>
        </w:rPr>
        <w:t xml:space="preserve"> кривичну пријаву, пријаву за привредни преступ или захтев за покретање прекршајног поступка, односно предузети и друге радње и мере на које је законом или другим прописом овлашћен.Када инспектор нађе да је надзирани субјекат повредио закон или други пропис чију примену надзире друга инспекција, о стању које је затекао саставиће записник, којег </w:t>
      </w:r>
      <w:r w:rsidR="000B7530" w:rsidRPr="00E443AE">
        <w:rPr>
          <w:rFonts w:cs="Calibri"/>
          <w:lang w:eastAsia="hr-HR"/>
        </w:rPr>
        <w:t xml:space="preserve">ће </w:t>
      </w:r>
      <w:r w:rsidR="00943BED" w:rsidRPr="00E443AE">
        <w:rPr>
          <w:rFonts w:cs="Calibri"/>
          <w:lang w:eastAsia="hr-HR"/>
        </w:rPr>
        <w:t>без одлагања просле</w:t>
      </w:r>
      <w:r w:rsidR="000B7530" w:rsidRPr="00E443AE">
        <w:rPr>
          <w:rFonts w:cs="Calibri"/>
          <w:lang w:eastAsia="hr-HR"/>
        </w:rPr>
        <w:t>дити</w:t>
      </w:r>
      <w:r w:rsidR="00943BED" w:rsidRPr="00E443AE">
        <w:rPr>
          <w:rFonts w:cs="Calibri"/>
          <w:lang w:eastAsia="hr-HR"/>
        </w:rPr>
        <w:t xml:space="preserve"> инспекцији у чијем делокругу је делатност коју обавља или активност коју врши надзирани субјекат, као и другом надлежном органу и Координационој комисији, ради предузимања радњи и мера из делокруга те инспекције, односно вршења заједничког инспекцијског надзора или сарадње у обављању послова.</w:t>
      </w:r>
      <w:r w:rsidR="000B7530" w:rsidRPr="00E443AE">
        <w:rPr>
          <w:rFonts w:cs="Calibri"/>
        </w:rPr>
        <w:t xml:space="preserve">У циљу </w:t>
      </w:r>
      <w:r w:rsidR="000B7530" w:rsidRPr="00E443AE">
        <w:rPr>
          <w:rFonts w:cs="Calibri"/>
          <w:lang w:eastAsia="hr-HR"/>
        </w:rPr>
        <w:t xml:space="preserve">спречавања </w:t>
      </w:r>
      <w:r w:rsidR="000B7530" w:rsidRPr="00E443AE">
        <w:rPr>
          <w:rFonts w:cs="Calibri"/>
          <w:lang w:eastAsia="hr-HR"/>
        </w:rPr>
        <w:lastRenderedPageBreak/>
        <w:t>обављања делатности и вршења активности нерегистрованих субјеката, односно субјеката који врше експлоатацију без одобрења биће по</w:t>
      </w:r>
      <w:r w:rsidR="00A67807" w:rsidRPr="00E443AE">
        <w:rPr>
          <w:rFonts w:cs="Calibri"/>
          <w:lang w:eastAsia="hr-HR"/>
        </w:rPr>
        <w:t>јачана</w:t>
      </w:r>
      <w:r w:rsidR="000B7530" w:rsidRPr="00E443AE">
        <w:rPr>
          <w:rFonts w:cs="Calibri"/>
          <w:lang w:eastAsia="hr-HR"/>
        </w:rPr>
        <w:t xml:space="preserve"> сарадња и координација </w:t>
      </w:r>
      <w:r w:rsidR="00A67807" w:rsidRPr="00E443AE">
        <w:rPr>
          <w:rFonts w:cs="Calibri"/>
          <w:lang w:eastAsia="hr-HR"/>
        </w:rPr>
        <w:t>у оквиру Радне групе за заштиту природних ресурса коју је формирала Координациона комисија за инспекцијки надзор.</w:t>
      </w:r>
    </w:p>
    <w:p w:rsidR="00087A7F" w:rsidRPr="00E443AE" w:rsidRDefault="00087A7F" w:rsidP="00B45B45">
      <w:pPr>
        <w:spacing w:after="120"/>
        <w:ind w:firstLine="708"/>
        <w:jc w:val="both"/>
        <w:rPr>
          <w:rFonts w:cs="Calibri"/>
          <w:lang w:eastAsia="hr-HR"/>
        </w:rPr>
      </w:pPr>
    </w:p>
    <w:p w:rsidR="00CC4AC7" w:rsidRPr="00E443AE" w:rsidRDefault="00CC4AC7" w:rsidP="00B45B45">
      <w:pPr>
        <w:spacing w:after="120"/>
        <w:ind w:firstLine="708"/>
        <w:jc w:val="both"/>
        <w:rPr>
          <w:rFonts w:cs="Calibri"/>
          <w:lang w:eastAsia="hr-HR"/>
        </w:rPr>
      </w:pPr>
    </w:p>
    <w:p w:rsidR="00CC4AC7" w:rsidRPr="00E443AE" w:rsidRDefault="00CC4AC7" w:rsidP="00B45B45">
      <w:pPr>
        <w:spacing w:after="120"/>
        <w:ind w:firstLine="708"/>
        <w:jc w:val="both"/>
        <w:rPr>
          <w:rFonts w:cs="Calibri"/>
          <w:lang w:eastAsia="hr-HR"/>
        </w:rPr>
      </w:pPr>
    </w:p>
    <w:p w:rsidR="00E56033" w:rsidRPr="00E443AE" w:rsidRDefault="00E56033" w:rsidP="00B45B45">
      <w:pPr>
        <w:spacing w:after="120"/>
        <w:ind w:firstLine="708"/>
        <w:jc w:val="both"/>
        <w:rPr>
          <w:rFonts w:cs="Calibri"/>
          <w:lang w:eastAsia="hr-HR"/>
        </w:rPr>
      </w:pPr>
    </w:p>
    <w:p w:rsidR="00A67083" w:rsidRPr="00E443AE" w:rsidRDefault="00CC4AC7" w:rsidP="00CC4A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eastAsia="Times New Roman" w:cs="Calibri"/>
          <w:lang w:val="sr-Cyrl-CS"/>
        </w:rPr>
      </w:pPr>
      <w:r w:rsidRPr="00E443AE">
        <w:rPr>
          <w:rFonts w:eastAsia="Times New Roman" w:cs="Calibri"/>
          <w:b/>
          <w:lang w:val="sr-Cyrl-CS"/>
        </w:rPr>
        <w:t>ОЧЕКИВАНИ ОБИМ ВАНРЕДНИХ ИНСПЕКЦИЈСКИХ НАДЗОРА У ПЕРИОДУ У КОМ ЋЕ СЕ ВРШИТИ РЕДОВАН ИНСПЕКЦИЈСКИ НАДЗОР</w:t>
      </w:r>
    </w:p>
    <w:p w:rsidR="00205DC9" w:rsidRPr="00E443AE" w:rsidRDefault="00205DC9" w:rsidP="00205DC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360"/>
        <w:rPr>
          <w:rFonts w:eastAsia="Times New Roman" w:cs="Calibri"/>
          <w:lang w:val="sr-Cyrl-CS"/>
        </w:rPr>
      </w:pPr>
    </w:p>
    <w:p w:rsidR="00A67083" w:rsidRPr="00E443AE" w:rsidRDefault="009E6BFA" w:rsidP="00A67083">
      <w:pPr>
        <w:spacing w:after="120" w:line="240" w:lineRule="auto"/>
        <w:jc w:val="both"/>
        <w:rPr>
          <w:rFonts w:eastAsia="Times New Roman" w:cs="Calibri"/>
          <w:lang w:val="sr-Cyrl-CS"/>
        </w:rPr>
      </w:pPr>
      <w:r w:rsidRPr="00E443AE">
        <w:rPr>
          <w:rFonts w:eastAsia="Times New Roman" w:cs="Calibri"/>
          <w:lang w:val="sr-Cyrl-CS"/>
        </w:rPr>
        <w:t>Годишњим планом за 2021</w:t>
      </w:r>
      <w:r w:rsidR="00A67083" w:rsidRPr="00E443AE">
        <w:rPr>
          <w:rFonts w:eastAsia="Times New Roman" w:cs="Calibri"/>
          <w:lang w:val="sr-Cyrl-CS"/>
        </w:rPr>
        <w:t xml:space="preserve">. годину предвиђено </w:t>
      </w:r>
      <w:r w:rsidR="00B45B45" w:rsidRPr="00E443AE">
        <w:rPr>
          <w:rFonts w:eastAsia="Times New Roman" w:cs="Calibri"/>
          <w:lang w:val="sr-Cyrl-CS"/>
        </w:rPr>
        <w:t xml:space="preserve">је да сви инспектори, укупно </w:t>
      </w:r>
      <w:r w:rsidR="004744D0">
        <w:rPr>
          <w:rFonts w:eastAsia="Times New Roman" w:cs="Calibri"/>
          <w:lang w:val="en-US"/>
        </w:rPr>
        <w:t>34</w:t>
      </w:r>
      <w:r w:rsidR="00A67083" w:rsidRPr="00E443AE">
        <w:rPr>
          <w:rFonts w:eastAsia="Times New Roman" w:cs="Calibri"/>
          <w:lang w:val="sr-Cyrl-CS"/>
        </w:rPr>
        <w:t xml:space="preserve"> дана врше ванредан инспекцијски надзор</w:t>
      </w:r>
      <w:r w:rsidR="009F4D7E" w:rsidRPr="00E443AE">
        <w:rPr>
          <w:rFonts w:eastAsia="Times New Roman" w:cs="Calibri"/>
          <w:lang w:val="en-US"/>
        </w:rPr>
        <w:t>e</w:t>
      </w:r>
      <w:r w:rsidR="009F4D7E" w:rsidRPr="00E443AE">
        <w:rPr>
          <w:rFonts w:eastAsia="Times New Roman" w:cs="Calibri"/>
        </w:rPr>
        <w:t xml:space="preserve"> који су иницирани</w:t>
      </w:r>
      <w:r w:rsidR="009F4D7E" w:rsidRPr="00E443AE">
        <w:rPr>
          <w:rFonts w:eastAsia="Times New Roman" w:cs="Calibri"/>
          <w:lang w:val="sr-Cyrl-CS"/>
        </w:rPr>
        <w:t xml:space="preserve"> представкама</w:t>
      </w:r>
      <w:r w:rsidR="00A67083" w:rsidRPr="00E443AE">
        <w:rPr>
          <w:rFonts w:eastAsia="Times New Roman" w:cs="Calibri"/>
          <w:lang w:val="sr-Cyrl-CS"/>
        </w:rPr>
        <w:t>. Ово је процена на основу просека досадашњих извештаја о раду и на основу тенденције пораста броја представки које инспекција добија. Ванредни инспекцијски надзор ће се вршити по представкама, по захтеву других државних органа у циљу заједничког деловања</w:t>
      </w:r>
      <w:r w:rsidR="009F4D7E" w:rsidRPr="00E443AE">
        <w:rPr>
          <w:rFonts w:eastAsia="Times New Roman" w:cs="Calibri"/>
          <w:lang w:val="sr-Cyrl-CS"/>
        </w:rPr>
        <w:t xml:space="preserve"> и пријавама смртних повреда</w:t>
      </w:r>
      <w:r w:rsidR="00B45B45" w:rsidRPr="00E443AE">
        <w:rPr>
          <w:rFonts w:eastAsia="Times New Roman" w:cs="Calibri"/>
          <w:lang w:val="sr-Cyrl-CS"/>
        </w:rPr>
        <w:t xml:space="preserve"> на раду, групних повреда и акцидената</w:t>
      </w:r>
      <w:r w:rsidR="00A67083" w:rsidRPr="00E443AE">
        <w:rPr>
          <w:rFonts w:eastAsia="Times New Roman" w:cs="Calibri"/>
          <w:lang w:val="sr-Cyrl-CS"/>
        </w:rPr>
        <w:t>. Надзор ће се обављати у складу са процењеним степеном ризика</w:t>
      </w:r>
      <w:r w:rsidR="009F4D7E" w:rsidRPr="00E443AE">
        <w:rPr>
          <w:rFonts w:eastAsia="Times New Roman" w:cs="Calibri"/>
          <w:lang w:val="sr-Cyrl-CS"/>
        </w:rPr>
        <w:t>, указаном потребом</w:t>
      </w:r>
      <w:r w:rsidR="00A67083" w:rsidRPr="00E443AE">
        <w:rPr>
          <w:rFonts w:eastAsia="Times New Roman" w:cs="Calibri"/>
          <w:lang w:val="sr-Cyrl-CS"/>
        </w:rPr>
        <w:t xml:space="preserve"> и у време предвиђено оперативним п</w:t>
      </w:r>
      <w:r w:rsidR="00B45B45" w:rsidRPr="00E443AE">
        <w:rPr>
          <w:rFonts w:eastAsia="Times New Roman" w:cs="Calibri"/>
          <w:lang w:val="sr-Cyrl-CS"/>
        </w:rPr>
        <w:t>лановима инспекцијског надзора</w:t>
      </w:r>
      <w:r w:rsidR="00A67083" w:rsidRPr="00E443AE">
        <w:rPr>
          <w:rFonts w:eastAsia="Times New Roman" w:cs="Calibri"/>
          <w:lang w:val="sr-Cyrl-CS"/>
        </w:rPr>
        <w:t xml:space="preserve">. </w:t>
      </w:r>
    </w:p>
    <w:p w:rsidR="00A67083" w:rsidRDefault="00A67083" w:rsidP="008679B9"/>
    <w:p w:rsidR="000221B4" w:rsidRDefault="000221B4" w:rsidP="000221B4">
      <w:pPr>
        <w:ind w:left="4820"/>
        <w:jc w:val="center"/>
        <w:rPr>
          <w:lang w:val="sr-Cyrl-RS"/>
        </w:rPr>
      </w:pPr>
      <w:r>
        <w:rPr>
          <w:lang w:val="sr-Cyrl-RS"/>
        </w:rPr>
        <w:t>Обрадио</w:t>
      </w:r>
    </w:p>
    <w:p w:rsidR="000221B4" w:rsidRDefault="000221B4" w:rsidP="000221B4">
      <w:pPr>
        <w:ind w:left="4820"/>
        <w:jc w:val="center"/>
        <w:rPr>
          <w:lang w:val="sr-Cyrl-RS"/>
        </w:rPr>
      </w:pPr>
      <w:r>
        <w:rPr>
          <w:lang w:val="sr-Cyrl-RS"/>
        </w:rPr>
        <w:t>Игор Јапунџа</w:t>
      </w:r>
    </w:p>
    <w:p w:rsidR="000221B4" w:rsidRDefault="000221B4" w:rsidP="000221B4">
      <w:pPr>
        <w:ind w:left="4820"/>
        <w:jc w:val="center"/>
        <w:rPr>
          <w:lang w:val="sr-Cyrl-RS"/>
        </w:rPr>
      </w:pPr>
      <w:r>
        <w:rPr>
          <w:lang w:val="sr-Cyrl-RS"/>
        </w:rPr>
        <w:t>_________________</w:t>
      </w:r>
    </w:p>
    <w:p w:rsidR="000221B4" w:rsidRDefault="000221B4" w:rsidP="000221B4">
      <w:pPr>
        <w:ind w:left="4820"/>
        <w:jc w:val="center"/>
        <w:rPr>
          <w:lang w:val="sr-Cyrl-RS"/>
        </w:rPr>
      </w:pPr>
      <w:r>
        <w:rPr>
          <w:lang w:val="sr-Cyrl-RS"/>
        </w:rPr>
        <w:t>Снежана Ковачевић</w:t>
      </w:r>
    </w:p>
    <w:p w:rsidR="000221B4" w:rsidRDefault="000221B4" w:rsidP="000221B4">
      <w:pPr>
        <w:ind w:left="4820"/>
        <w:jc w:val="center"/>
        <w:rPr>
          <w:lang w:val="sr-Cyrl-RS"/>
        </w:rPr>
      </w:pPr>
      <w:r>
        <w:rPr>
          <w:lang w:val="sr-Cyrl-RS"/>
        </w:rPr>
        <w:t>_________________</w:t>
      </w:r>
    </w:p>
    <w:p w:rsidR="000221B4" w:rsidRDefault="000221B4" w:rsidP="000221B4">
      <w:pPr>
        <w:ind w:left="4820"/>
        <w:jc w:val="center"/>
        <w:rPr>
          <w:lang w:val="sr-Cyrl-RS"/>
        </w:rPr>
      </w:pPr>
    </w:p>
    <w:p w:rsidR="000221B4" w:rsidRDefault="000221B4" w:rsidP="000221B4">
      <w:pPr>
        <w:ind w:right="4988"/>
        <w:jc w:val="center"/>
        <w:rPr>
          <w:lang w:val="sr-Cyrl-RS"/>
        </w:rPr>
      </w:pPr>
      <w:r>
        <w:rPr>
          <w:lang w:val="sr-Cyrl-RS"/>
        </w:rPr>
        <w:t>Одобрио</w:t>
      </w:r>
    </w:p>
    <w:p w:rsidR="000221B4" w:rsidRDefault="000221B4" w:rsidP="000221B4">
      <w:pPr>
        <w:ind w:right="4988"/>
        <w:jc w:val="center"/>
        <w:rPr>
          <w:lang w:val="sr-Cyrl-RS"/>
        </w:rPr>
      </w:pPr>
      <w:r>
        <w:rPr>
          <w:lang w:val="sr-Cyrl-RS"/>
        </w:rPr>
        <w:t>Небојша Војновић</w:t>
      </w:r>
    </w:p>
    <w:p w:rsidR="000221B4" w:rsidRPr="000221B4" w:rsidRDefault="000221B4" w:rsidP="000221B4">
      <w:pPr>
        <w:ind w:right="4988"/>
        <w:jc w:val="center"/>
        <w:rPr>
          <w:lang w:val="sr-Cyrl-RS"/>
        </w:rPr>
      </w:pPr>
      <w:r>
        <w:rPr>
          <w:lang w:val="sr-Cyrl-RS"/>
        </w:rPr>
        <w:t>____________________</w:t>
      </w:r>
    </w:p>
    <w:sectPr w:rsidR="000221B4" w:rsidRPr="000221B4" w:rsidSect="00D960E3">
      <w:pgSz w:w="11906" w:h="16838"/>
      <w:pgMar w:top="1417" w:right="1106" w:bottom="14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43" w:rsidRDefault="00485643" w:rsidP="008679B9">
      <w:pPr>
        <w:spacing w:after="0" w:line="240" w:lineRule="auto"/>
      </w:pPr>
      <w:r>
        <w:separator/>
      </w:r>
    </w:p>
  </w:endnote>
  <w:endnote w:type="continuationSeparator" w:id="0">
    <w:p w:rsidR="00485643" w:rsidRDefault="00485643" w:rsidP="00867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43" w:rsidRDefault="00485643" w:rsidP="008679B9">
      <w:pPr>
        <w:spacing w:after="0" w:line="240" w:lineRule="auto"/>
      </w:pPr>
      <w:r>
        <w:separator/>
      </w:r>
    </w:p>
  </w:footnote>
  <w:footnote w:type="continuationSeparator" w:id="0">
    <w:p w:rsidR="00485643" w:rsidRDefault="00485643" w:rsidP="00867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098"/>
    <w:multiLevelType w:val="multilevel"/>
    <w:tmpl w:val="21E0F2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1" w15:restartNumberingAfterBreak="0">
    <w:nsid w:val="06FB6DD9"/>
    <w:multiLevelType w:val="hybridMultilevel"/>
    <w:tmpl w:val="0322A72A"/>
    <w:lvl w:ilvl="0" w:tplc="33E2B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97D4F"/>
    <w:multiLevelType w:val="multilevel"/>
    <w:tmpl w:val="D966DDB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3" w15:restartNumberingAfterBreak="0">
    <w:nsid w:val="0EA052E0"/>
    <w:multiLevelType w:val="hybridMultilevel"/>
    <w:tmpl w:val="490A742A"/>
    <w:lvl w:ilvl="0" w:tplc="0FC8AA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4F3295"/>
    <w:multiLevelType w:val="hybridMultilevel"/>
    <w:tmpl w:val="59B28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14EA4"/>
    <w:multiLevelType w:val="hybridMultilevel"/>
    <w:tmpl w:val="77A680AA"/>
    <w:lvl w:ilvl="0" w:tplc="33E2B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47D56"/>
    <w:multiLevelType w:val="hybridMultilevel"/>
    <w:tmpl w:val="4D6A69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72178"/>
    <w:multiLevelType w:val="multilevel"/>
    <w:tmpl w:val="51D60BD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3D5526A7"/>
    <w:multiLevelType w:val="hybridMultilevel"/>
    <w:tmpl w:val="9EA6F79E"/>
    <w:lvl w:ilvl="0" w:tplc="AFEA1DC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928D7"/>
    <w:multiLevelType w:val="hybridMultilevel"/>
    <w:tmpl w:val="DE4A5578"/>
    <w:lvl w:ilvl="0" w:tplc="33E2B2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B76685"/>
    <w:multiLevelType w:val="multilevel"/>
    <w:tmpl w:val="8CC02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333333"/>
      </w:rPr>
    </w:lvl>
  </w:abstractNum>
  <w:abstractNum w:abstractNumId="11" w15:restartNumberingAfterBreak="0">
    <w:nsid w:val="45E228C7"/>
    <w:multiLevelType w:val="hybridMultilevel"/>
    <w:tmpl w:val="4892916C"/>
    <w:lvl w:ilvl="0" w:tplc="33E2B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F3FD7"/>
    <w:multiLevelType w:val="hybridMultilevel"/>
    <w:tmpl w:val="A984DE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764AF"/>
    <w:multiLevelType w:val="multilevel"/>
    <w:tmpl w:val="C2B661F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21E691E"/>
    <w:multiLevelType w:val="multilevel"/>
    <w:tmpl w:val="F52AEE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  <w:color w:val="0070C0"/>
        <w:sz w:val="24"/>
        <w:szCs w:val="24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70EE2B30"/>
    <w:multiLevelType w:val="multilevel"/>
    <w:tmpl w:val="21E0F2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16" w15:restartNumberingAfterBreak="0">
    <w:nsid w:val="71B73FDD"/>
    <w:multiLevelType w:val="multilevel"/>
    <w:tmpl w:val="74F0AABE"/>
    <w:lvl w:ilvl="0">
      <w:start w:val="1"/>
      <w:numFmt w:val="decimal"/>
      <w:lvlText w:val="%1."/>
      <w:lvlJc w:val="left"/>
      <w:pPr>
        <w:ind w:left="785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5"/>
  </w:num>
  <w:num w:numId="8">
    <w:abstractNumId w:val="0"/>
  </w:num>
  <w:num w:numId="9">
    <w:abstractNumId w:val="15"/>
  </w:num>
  <w:num w:numId="10">
    <w:abstractNumId w:val="7"/>
  </w:num>
  <w:num w:numId="11">
    <w:abstractNumId w:val="16"/>
  </w:num>
  <w:num w:numId="12">
    <w:abstractNumId w:val="8"/>
  </w:num>
  <w:num w:numId="13">
    <w:abstractNumId w:val="10"/>
  </w:num>
  <w:num w:numId="14">
    <w:abstractNumId w:val="4"/>
  </w:num>
  <w:num w:numId="15">
    <w:abstractNumId w:val="11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GB" w:vendorID="64" w:dllVersion="131078" w:nlCheck="1" w:checkStyle="0"/>
  <w:activeWritingStyle w:appName="MSWord" w:lang="en-US" w:vendorID="64" w:dllVersion="131078" w:nlCheck="1" w:checkStyle="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5B"/>
    <w:rsid w:val="000012BD"/>
    <w:rsid w:val="00006A5D"/>
    <w:rsid w:val="000221B4"/>
    <w:rsid w:val="00024B42"/>
    <w:rsid w:val="0003285E"/>
    <w:rsid w:val="00053B4B"/>
    <w:rsid w:val="00053BAB"/>
    <w:rsid w:val="0008558A"/>
    <w:rsid w:val="00085AFC"/>
    <w:rsid w:val="00087A7F"/>
    <w:rsid w:val="000B0620"/>
    <w:rsid w:val="000B2931"/>
    <w:rsid w:val="000B7530"/>
    <w:rsid w:val="000C2222"/>
    <w:rsid w:val="000D2664"/>
    <w:rsid w:val="000D31C4"/>
    <w:rsid w:val="000D5D29"/>
    <w:rsid w:val="000F23AB"/>
    <w:rsid w:val="001027ED"/>
    <w:rsid w:val="00104BEE"/>
    <w:rsid w:val="00104F2A"/>
    <w:rsid w:val="0012305B"/>
    <w:rsid w:val="00131D37"/>
    <w:rsid w:val="00194910"/>
    <w:rsid w:val="001B10E2"/>
    <w:rsid w:val="001C1F6A"/>
    <w:rsid w:val="00201E2F"/>
    <w:rsid w:val="00205347"/>
    <w:rsid w:val="00205DC9"/>
    <w:rsid w:val="002331D5"/>
    <w:rsid w:val="00237034"/>
    <w:rsid w:val="00252EFA"/>
    <w:rsid w:val="00254BA8"/>
    <w:rsid w:val="0026652E"/>
    <w:rsid w:val="00276CEE"/>
    <w:rsid w:val="00283F95"/>
    <w:rsid w:val="002B0B57"/>
    <w:rsid w:val="002B1B3D"/>
    <w:rsid w:val="002B6DFD"/>
    <w:rsid w:val="002D3456"/>
    <w:rsid w:val="00306F1A"/>
    <w:rsid w:val="003253A1"/>
    <w:rsid w:val="003328E5"/>
    <w:rsid w:val="00366BCF"/>
    <w:rsid w:val="00385AB6"/>
    <w:rsid w:val="003A0140"/>
    <w:rsid w:val="003B2045"/>
    <w:rsid w:val="003B6424"/>
    <w:rsid w:val="003B7514"/>
    <w:rsid w:val="003D4894"/>
    <w:rsid w:val="003D7058"/>
    <w:rsid w:val="003E4AF4"/>
    <w:rsid w:val="003E5D95"/>
    <w:rsid w:val="003E7F62"/>
    <w:rsid w:val="004146FE"/>
    <w:rsid w:val="00435454"/>
    <w:rsid w:val="00453CE1"/>
    <w:rsid w:val="0045475C"/>
    <w:rsid w:val="00456123"/>
    <w:rsid w:val="00456F91"/>
    <w:rsid w:val="0046036A"/>
    <w:rsid w:val="00460A06"/>
    <w:rsid w:val="004744D0"/>
    <w:rsid w:val="00480221"/>
    <w:rsid w:val="00485643"/>
    <w:rsid w:val="004A3278"/>
    <w:rsid w:val="004C2012"/>
    <w:rsid w:val="004E46B3"/>
    <w:rsid w:val="004E7A86"/>
    <w:rsid w:val="004F291F"/>
    <w:rsid w:val="00511671"/>
    <w:rsid w:val="005151CF"/>
    <w:rsid w:val="00533E71"/>
    <w:rsid w:val="00534A07"/>
    <w:rsid w:val="0053616F"/>
    <w:rsid w:val="00543385"/>
    <w:rsid w:val="00543496"/>
    <w:rsid w:val="00544BC6"/>
    <w:rsid w:val="00553A3A"/>
    <w:rsid w:val="00553AC7"/>
    <w:rsid w:val="005640B7"/>
    <w:rsid w:val="0058496B"/>
    <w:rsid w:val="005979FC"/>
    <w:rsid w:val="005C147D"/>
    <w:rsid w:val="005C7B5C"/>
    <w:rsid w:val="005F7E61"/>
    <w:rsid w:val="006149F1"/>
    <w:rsid w:val="00630A7C"/>
    <w:rsid w:val="006B5180"/>
    <w:rsid w:val="006B67FB"/>
    <w:rsid w:val="006C0C10"/>
    <w:rsid w:val="006D6055"/>
    <w:rsid w:val="006E25F6"/>
    <w:rsid w:val="006F6460"/>
    <w:rsid w:val="0072062E"/>
    <w:rsid w:val="00722DE8"/>
    <w:rsid w:val="00741004"/>
    <w:rsid w:val="007533B2"/>
    <w:rsid w:val="0076071E"/>
    <w:rsid w:val="007748E6"/>
    <w:rsid w:val="007957AB"/>
    <w:rsid w:val="007B400A"/>
    <w:rsid w:val="007B4373"/>
    <w:rsid w:val="007E128E"/>
    <w:rsid w:val="007F189C"/>
    <w:rsid w:val="007F3DC2"/>
    <w:rsid w:val="00801825"/>
    <w:rsid w:val="00823CCC"/>
    <w:rsid w:val="0084740A"/>
    <w:rsid w:val="008679B9"/>
    <w:rsid w:val="00871BA6"/>
    <w:rsid w:val="008775D6"/>
    <w:rsid w:val="0088744A"/>
    <w:rsid w:val="00894ED7"/>
    <w:rsid w:val="00896B87"/>
    <w:rsid w:val="008A0AFC"/>
    <w:rsid w:val="008A12F4"/>
    <w:rsid w:val="008A7D19"/>
    <w:rsid w:val="008F4B2B"/>
    <w:rsid w:val="009013A8"/>
    <w:rsid w:val="0090544A"/>
    <w:rsid w:val="00905E0C"/>
    <w:rsid w:val="009421E7"/>
    <w:rsid w:val="00943BED"/>
    <w:rsid w:val="0096305B"/>
    <w:rsid w:val="0097356D"/>
    <w:rsid w:val="00981CCC"/>
    <w:rsid w:val="00987545"/>
    <w:rsid w:val="009B2C00"/>
    <w:rsid w:val="009B464A"/>
    <w:rsid w:val="009B64C4"/>
    <w:rsid w:val="009D0D4A"/>
    <w:rsid w:val="009E6BFA"/>
    <w:rsid w:val="009F18C6"/>
    <w:rsid w:val="009F4D7E"/>
    <w:rsid w:val="00A01BDA"/>
    <w:rsid w:val="00A05D91"/>
    <w:rsid w:val="00A159D3"/>
    <w:rsid w:val="00A21B16"/>
    <w:rsid w:val="00A3359F"/>
    <w:rsid w:val="00A351B4"/>
    <w:rsid w:val="00A52E86"/>
    <w:rsid w:val="00A53033"/>
    <w:rsid w:val="00A64AE0"/>
    <w:rsid w:val="00A67083"/>
    <w:rsid w:val="00A67807"/>
    <w:rsid w:val="00A9790A"/>
    <w:rsid w:val="00AA76C8"/>
    <w:rsid w:val="00AC25D4"/>
    <w:rsid w:val="00AC4524"/>
    <w:rsid w:val="00AE7F2E"/>
    <w:rsid w:val="00B12419"/>
    <w:rsid w:val="00B24512"/>
    <w:rsid w:val="00B362E7"/>
    <w:rsid w:val="00B41D08"/>
    <w:rsid w:val="00B45B45"/>
    <w:rsid w:val="00B62A3F"/>
    <w:rsid w:val="00B94186"/>
    <w:rsid w:val="00B9763E"/>
    <w:rsid w:val="00BA44BD"/>
    <w:rsid w:val="00BA590A"/>
    <w:rsid w:val="00BB34DD"/>
    <w:rsid w:val="00BC1AD0"/>
    <w:rsid w:val="00BD599F"/>
    <w:rsid w:val="00C066D5"/>
    <w:rsid w:val="00C51468"/>
    <w:rsid w:val="00C57043"/>
    <w:rsid w:val="00C63DA7"/>
    <w:rsid w:val="00C85CF1"/>
    <w:rsid w:val="00CA2A5E"/>
    <w:rsid w:val="00CA5633"/>
    <w:rsid w:val="00CB66FF"/>
    <w:rsid w:val="00CC363B"/>
    <w:rsid w:val="00CC4AC7"/>
    <w:rsid w:val="00CC5199"/>
    <w:rsid w:val="00CC520A"/>
    <w:rsid w:val="00CF76D4"/>
    <w:rsid w:val="00D01B9F"/>
    <w:rsid w:val="00D1335A"/>
    <w:rsid w:val="00D24B41"/>
    <w:rsid w:val="00D352DF"/>
    <w:rsid w:val="00D52521"/>
    <w:rsid w:val="00D55691"/>
    <w:rsid w:val="00D61A32"/>
    <w:rsid w:val="00D63260"/>
    <w:rsid w:val="00D72F3D"/>
    <w:rsid w:val="00D960E3"/>
    <w:rsid w:val="00D96560"/>
    <w:rsid w:val="00D9743A"/>
    <w:rsid w:val="00D9774D"/>
    <w:rsid w:val="00DA42E9"/>
    <w:rsid w:val="00DA4404"/>
    <w:rsid w:val="00DC6C7B"/>
    <w:rsid w:val="00E056B9"/>
    <w:rsid w:val="00E20C13"/>
    <w:rsid w:val="00E25F8B"/>
    <w:rsid w:val="00E3214F"/>
    <w:rsid w:val="00E37CD6"/>
    <w:rsid w:val="00E443AE"/>
    <w:rsid w:val="00E56033"/>
    <w:rsid w:val="00E61676"/>
    <w:rsid w:val="00E6386D"/>
    <w:rsid w:val="00E6684F"/>
    <w:rsid w:val="00E80BC4"/>
    <w:rsid w:val="00E85A94"/>
    <w:rsid w:val="00EA71AF"/>
    <w:rsid w:val="00ED1584"/>
    <w:rsid w:val="00ED5887"/>
    <w:rsid w:val="00EE0031"/>
    <w:rsid w:val="00F13094"/>
    <w:rsid w:val="00F239C9"/>
    <w:rsid w:val="00F43B59"/>
    <w:rsid w:val="00F509CB"/>
    <w:rsid w:val="00F612B9"/>
    <w:rsid w:val="00F646B0"/>
    <w:rsid w:val="00FA417D"/>
    <w:rsid w:val="00FE06C3"/>
    <w:rsid w:val="00FE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6495A"/>
  <w15:docId w15:val="{D556A5FB-33AB-44B5-A73F-3721FC6D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BEE"/>
    <w:pPr>
      <w:spacing w:after="160" w:line="259" w:lineRule="auto"/>
    </w:pPr>
    <w:rPr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rsid w:val="00987545"/>
    <w:pPr>
      <w:keepNext/>
      <w:keepLines/>
      <w:spacing w:before="40" w:after="0"/>
      <w:outlineLvl w:val="1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7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9B9"/>
  </w:style>
  <w:style w:type="paragraph" w:styleId="Footer">
    <w:name w:val="footer"/>
    <w:basedOn w:val="Normal"/>
    <w:link w:val="FooterChar"/>
    <w:uiPriority w:val="99"/>
    <w:unhideWhenUsed/>
    <w:rsid w:val="00867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9B9"/>
  </w:style>
  <w:style w:type="paragraph" w:styleId="ListParagraph">
    <w:name w:val="List Paragraph"/>
    <w:basedOn w:val="Normal"/>
    <w:uiPriority w:val="34"/>
    <w:qFormat/>
    <w:rsid w:val="0084740A"/>
    <w:pPr>
      <w:ind w:left="720"/>
      <w:contextualSpacing/>
    </w:pPr>
  </w:style>
  <w:style w:type="character" w:customStyle="1" w:styleId="Heading2Char">
    <w:name w:val="Heading 2 Char"/>
    <w:link w:val="Heading2"/>
    <w:rsid w:val="0098754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05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53A1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291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4F2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9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F29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9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29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segs@vojvodina.gov.r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or.japundza\Desktop\Plan%20-%20geoloska%20inspekcija%20-%202021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78027-264D-4A74-8C78-5269A6180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 - geoloska inspekcija - 2021k</Template>
  <TotalTime>40</TotalTime>
  <Pages>12</Pages>
  <Words>3517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23523</CharactersWithSpaces>
  <SharedDoc>false</SharedDoc>
  <HLinks>
    <vt:vector size="6" baseType="variant">
      <vt:variant>
        <vt:i4>1835106</vt:i4>
      </vt:variant>
      <vt:variant>
        <vt:i4>0</vt:i4>
      </vt:variant>
      <vt:variant>
        <vt:i4>0</vt:i4>
      </vt:variant>
      <vt:variant>
        <vt:i4>5</vt:i4>
      </vt:variant>
      <vt:variant>
        <vt:lpwstr>mailto:psegs@vojvodina.gov.rs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Japundža</dc:creator>
  <cp:keywords/>
  <cp:lastModifiedBy>Jovo Milanovic</cp:lastModifiedBy>
  <cp:revision>4</cp:revision>
  <dcterms:created xsi:type="dcterms:W3CDTF">2020-12-02T12:56:00Z</dcterms:created>
  <dcterms:modified xsi:type="dcterms:W3CDTF">2021-02-10T07:19:00Z</dcterms:modified>
</cp:coreProperties>
</file>